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83529" w14:textId="77777777" w:rsidR="00D43A1B" w:rsidRPr="00EA05D4" w:rsidRDefault="00D43A1B" w:rsidP="00D43A1B">
      <w:pPr>
        <w:pStyle w:val="Docketnumber"/>
        <w:rPr>
          <w:sz w:val="24"/>
          <w:szCs w:val="24"/>
        </w:rPr>
      </w:pPr>
      <w:bookmarkStart w:id="0" w:name="_Hlk88039016"/>
      <w:r w:rsidRPr="00EA05D4">
        <w:rPr>
          <w:sz w:val="24"/>
          <w:szCs w:val="24"/>
        </w:rPr>
        <w:t>SOAH DOCKET NO. 473-20-4071.ws</w:t>
      </w:r>
    </w:p>
    <w:p w14:paraId="6CA6D0F8" w14:textId="77777777" w:rsidR="008549CC" w:rsidRPr="00EA05D4" w:rsidRDefault="008549CC" w:rsidP="008549CC">
      <w:pPr>
        <w:pStyle w:val="Docketnumber"/>
        <w:rPr>
          <w:sz w:val="24"/>
          <w:szCs w:val="24"/>
        </w:rPr>
      </w:pPr>
      <w:r w:rsidRPr="00EA05D4">
        <w:rPr>
          <w:sz w:val="24"/>
          <w:szCs w:val="24"/>
        </w:rPr>
        <w:t>PUC DOCKET NO. 50788</w:t>
      </w:r>
    </w:p>
    <w:p w14:paraId="13BDD6E1" w14:textId="77777777" w:rsidR="008549CC" w:rsidRPr="00EA05D4" w:rsidRDefault="008549CC" w:rsidP="008549CC">
      <w:pPr>
        <w:jc w:val="center"/>
        <w:rPr>
          <w:b/>
          <w:szCs w:val="24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630"/>
        <w:gridCol w:w="4410"/>
      </w:tblGrid>
      <w:tr w:rsidR="008549CC" w:rsidRPr="00EA05D4" w14:paraId="1597D29D" w14:textId="77777777" w:rsidTr="00D43A1B">
        <w:trPr>
          <w:trHeight w:val="1431"/>
          <w:jc w:val="center"/>
        </w:trPr>
        <w:tc>
          <w:tcPr>
            <w:tcW w:w="4320" w:type="dxa"/>
          </w:tcPr>
          <w:p w14:paraId="74E92B89" w14:textId="77777777" w:rsidR="008549CC" w:rsidRPr="00EA05D4" w:rsidRDefault="008549CC" w:rsidP="008A2A8A">
            <w:pPr>
              <w:jc w:val="left"/>
              <w:rPr>
                <w:b/>
                <w:caps/>
                <w:szCs w:val="24"/>
              </w:rPr>
            </w:pPr>
            <w:bookmarkStart w:id="1" w:name="_Hlk26961064"/>
            <w:r w:rsidRPr="00EA05D4">
              <w:rPr>
                <w:b/>
                <w:caps/>
                <w:szCs w:val="24"/>
              </w:rPr>
              <w:t>RATEPAYERS APPEAL OF THE DECISION BY WINDERMERE OAKS WATER SUPPLY CORPORATION TO CHANGE WATER AND SEWER RATES</w:t>
            </w:r>
          </w:p>
        </w:tc>
        <w:tc>
          <w:tcPr>
            <w:tcW w:w="630" w:type="dxa"/>
          </w:tcPr>
          <w:p w14:paraId="303810A5" w14:textId="77777777" w:rsidR="008549CC" w:rsidRPr="00EA05D4" w:rsidRDefault="008549CC" w:rsidP="008A2A8A">
            <w:pPr>
              <w:ind w:right="-195"/>
              <w:jc w:val="center"/>
              <w:rPr>
                <w:b/>
                <w:szCs w:val="24"/>
              </w:rPr>
            </w:pPr>
            <w:r w:rsidRPr="00EA05D4">
              <w:rPr>
                <w:b/>
                <w:szCs w:val="24"/>
              </w:rPr>
              <w:t>§</w:t>
            </w:r>
          </w:p>
          <w:p w14:paraId="71E356BD" w14:textId="77777777" w:rsidR="008549CC" w:rsidRPr="00EA05D4" w:rsidRDefault="008549CC" w:rsidP="008A2A8A">
            <w:pPr>
              <w:tabs>
                <w:tab w:val="left" w:pos="0"/>
              </w:tabs>
              <w:ind w:right="-195"/>
              <w:jc w:val="center"/>
              <w:rPr>
                <w:b/>
                <w:szCs w:val="24"/>
              </w:rPr>
            </w:pPr>
            <w:r w:rsidRPr="00EA05D4">
              <w:rPr>
                <w:b/>
                <w:szCs w:val="24"/>
              </w:rPr>
              <w:t>§</w:t>
            </w:r>
          </w:p>
          <w:p w14:paraId="398397D5" w14:textId="77777777" w:rsidR="008549CC" w:rsidRPr="00EA05D4" w:rsidRDefault="008549CC" w:rsidP="008A2A8A">
            <w:pPr>
              <w:tabs>
                <w:tab w:val="left" w:pos="0"/>
                <w:tab w:val="left" w:pos="150"/>
              </w:tabs>
              <w:ind w:right="-195"/>
              <w:jc w:val="center"/>
              <w:rPr>
                <w:b/>
                <w:szCs w:val="24"/>
              </w:rPr>
            </w:pPr>
            <w:r w:rsidRPr="00EA05D4">
              <w:rPr>
                <w:b/>
                <w:szCs w:val="24"/>
              </w:rPr>
              <w:t>§</w:t>
            </w:r>
          </w:p>
          <w:p w14:paraId="086493EF" w14:textId="77777777" w:rsidR="008549CC" w:rsidRPr="00EA05D4" w:rsidRDefault="008549CC" w:rsidP="008A2A8A">
            <w:pPr>
              <w:tabs>
                <w:tab w:val="left" w:pos="0"/>
                <w:tab w:val="left" w:pos="150"/>
              </w:tabs>
              <w:ind w:right="-195"/>
              <w:jc w:val="center"/>
              <w:rPr>
                <w:b/>
                <w:szCs w:val="24"/>
              </w:rPr>
            </w:pPr>
            <w:r w:rsidRPr="00EA05D4">
              <w:rPr>
                <w:b/>
                <w:szCs w:val="24"/>
              </w:rPr>
              <w:t>§</w:t>
            </w:r>
          </w:p>
          <w:p w14:paraId="158BEB3A" w14:textId="77777777" w:rsidR="008549CC" w:rsidRPr="00EA05D4" w:rsidRDefault="008549CC" w:rsidP="008A2A8A">
            <w:pPr>
              <w:tabs>
                <w:tab w:val="left" w:pos="0"/>
                <w:tab w:val="left" w:pos="150"/>
              </w:tabs>
              <w:ind w:right="-195"/>
              <w:jc w:val="center"/>
              <w:rPr>
                <w:b/>
                <w:szCs w:val="24"/>
              </w:rPr>
            </w:pPr>
            <w:r w:rsidRPr="00EA05D4">
              <w:rPr>
                <w:b/>
                <w:szCs w:val="24"/>
              </w:rPr>
              <w:t>§</w:t>
            </w:r>
          </w:p>
        </w:tc>
        <w:tc>
          <w:tcPr>
            <w:tcW w:w="4410" w:type="dxa"/>
          </w:tcPr>
          <w:p w14:paraId="33CBDAC6" w14:textId="77777777" w:rsidR="008549CC" w:rsidRPr="00EA05D4" w:rsidRDefault="008549CC" w:rsidP="008A2A8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EA05D4">
              <w:rPr>
                <w:bCs/>
                <w:szCs w:val="24"/>
              </w:rPr>
              <w:t xml:space="preserve">Before the state office </w:t>
            </w:r>
          </w:p>
          <w:p w14:paraId="2E94BB71" w14:textId="77777777" w:rsidR="008549CC" w:rsidRPr="00EA05D4" w:rsidRDefault="008549CC" w:rsidP="008A2A8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AE7ABE7" w14:textId="77777777" w:rsidR="008549CC" w:rsidRPr="00EA05D4" w:rsidRDefault="008549CC" w:rsidP="008A2A8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EA05D4">
              <w:rPr>
                <w:bCs/>
                <w:szCs w:val="24"/>
              </w:rPr>
              <w:t>of</w:t>
            </w:r>
          </w:p>
          <w:p w14:paraId="44BA8C31" w14:textId="77777777" w:rsidR="008549CC" w:rsidRPr="00EA05D4" w:rsidRDefault="008549CC" w:rsidP="008A2A8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43A11462" w14:textId="77777777" w:rsidR="008549CC" w:rsidRPr="00EA05D4" w:rsidRDefault="008549CC" w:rsidP="008A2A8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EA05D4">
              <w:rPr>
                <w:bCs/>
                <w:szCs w:val="24"/>
              </w:rPr>
              <w:t>administrative hearings</w:t>
            </w:r>
          </w:p>
        </w:tc>
      </w:tr>
      <w:bookmarkEnd w:id="0"/>
      <w:bookmarkEnd w:id="1"/>
    </w:tbl>
    <w:p w14:paraId="7C7790CC" w14:textId="77777777" w:rsidR="008549CC" w:rsidRPr="00EA05D4" w:rsidRDefault="008549CC" w:rsidP="008549CC">
      <w:pPr>
        <w:jc w:val="center"/>
        <w:rPr>
          <w:b/>
          <w:szCs w:val="24"/>
        </w:rPr>
      </w:pPr>
    </w:p>
    <w:p w14:paraId="11FAD20E" w14:textId="140FDC7B" w:rsidR="008549CC" w:rsidRDefault="004E75EE" w:rsidP="00C314BD">
      <w:pPr>
        <w:pStyle w:val="Docketnumber"/>
        <w:rPr>
          <w:sz w:val="24"/>
        </w:rPr>
      </w:pPr>
      <w:r>
        <w:rPr>
          <w:sz w:val="24"/>
        </w:rPr>
        <w:t xml:space="preserve">COMMISSION STAFF’s </w:t>
      </w:r>
      <w:r w:rsidR="00247AA3">
        <w:rPr>
          <w:sz w:val="24"/>
        </w:rPr>
        <w:t xml:space="preserve">response to the pROPOSAL FOR DECISION’S </w:t>
      </w:r>
      <w:r w:rsidR="005B4E32">
        <w:rPr>
          <w:sz w:val="24"/>
        </w:rPr>
        <w:t>REQUEST FOR RATES BASED ON ITS PROPOSED REVENUE REQUIREMENT</w:t>
      </w:r>
      <w:r w:rsidR="00247AA3">
        <w:rPr>
          <w:sz w:val="24"/>
        </w:rPr>
        <w:t xml:space="preserve"> </w:t>
      </w:r>
    </w:p>
    <w:p w14:paraId="5E5924CC" w14:textId="2E80D5EA" w:rsidR="008549CC" w:rsidRDefault="008549CC" w:rsidP="008549CC">
      <w:pPr>
        <w:pStyle w:val="Documentheading"/>
        <w:rPr>
          <w:b w:val="0"/>
          <w:bCs/>
          <w:sz w:val="24"/>
          <w:szCs w:val="24"/>
        </w:rPr>
      </w:pPr>
    </w:p>
    <w:p w14:paraId="1F9B49D3" w14:textId="694968CF" w:rsidR="00C314BD" w:rsidRDefault="00D95E70" w:rsidP="00F37F0D">
      <w:pPr>
        <w:spacing w:line="360" w:lineRule="auto"/>
        <w:ind w:firstLine="720"/>
      </w:pPr>
      <w:r>
        <w:t xml:space="preserve">On </w:t>
      </w:r>
      <w:r w:rsidR="007625B3">
        <w:t xml:space="preserve">June 29, 2023, </w:t>
      </w:r>
      <w:r w:rsidR="00346AC3">
        <w:t>the administrative law judges (ALJs) issued a proposal for decision (PFD)</w:t>
      </w:r>
      <w:r w:rsidR="00A7268B">
        <w:t>.</w:t>
      </w:r>
      <w:r w:rsidR="00346AC3">
        <w:t xml:space="preserve"> In the PFD, the ALJs suggested that </w:t>
      </w:r>
      <w:r w:rsidR="006D1F76">
        <w:t xml:space="preserve">Commission </w:t>
      </w:r>
      <w:r w:rsidR="00346AC3">
        <w:t>Staff calculate, for the Commission’s consideration, rates</w:t>
      </w:r>
      <w:r w:rsidR="00DD1DC3">
        <w:t xml:space="preserve"> based on the revenue requirement </w:t>
      </w:r>
      <w:r w:rsidR="0006200B">
        <w:t xml:space="preserve">of $527,714 </w:t>
      </w:r>
      <w:r w:rsidR="00DD1DC3">
        <w:t xml:space="preserve">that the </w:t>
      </w:r>
      <w:r w:rsidR="00677921">
        <w:t xml:space="preserve">ALJs adopt in their proposed final order. </w:t>
      </w:r>
    </w:p>
    <w:p w14:paraId="61D277A2" w14:textId="059A9ADD" w:rsidR="006D1F76" w:rsidRDefault="006D1F76" w:rsidP="00F37F0D">
      <w:pPr>
        <w:spacing w:line="360" w:lineRule="auto"/>
        <w:ind w:firstLine="720"/>
      </w:pPr>
      <w:r>
        <w:t xml:space="preserve">Staff maintains its position that applying </w:t>
      </w:r>
      <w:r w:rsidR="008E1CAA">
        <w:t>an offset of $48,</w:t>
      </w:r>
      <w:r w:rsidR="00C4114A">
        <w:t>478</w:t>
      </w:r>
      <w:r w:rsidR="00587180">
        <w:t xml:space="preserve"> to a revenue requirement of $576,192 is applying </w:t>
      </w:r>
      <w:proofErr w:type="gramStart"/>
      <w:r w:rsidR="00587180">
        <w:t xml:space="preserve">an </w:t>
      </w:r>
      <w:r w:rsidR="007B590C">
        <w:t>“</w:t>
      </w:r>
      <w:r w:rsidR="00587180">
        <w:t>apples</w:t>
      </w:r>
      <w:r w:rsidR="007B590C">
        <w:t>”</w:t>
      </w:r>
      <w:proofErr w:type="gramEnd"/>
      <w:r w:rsidR="00587180">
        <w:t xml:space="preserve"> offset to an </w:t>
      </w:r>
      <w:r w:rsidR="007B590C">
        <w:t>“</w:t>
      </w:r>
      <w:r w:rsidR="00587180">
        <w:t>oranges</w:t>
      </w:r>
      <w:r w:rsidR="007B590C">
        <w:t>”</w:t>
      </w:r>
      <w:r w:rsidR="00587180">
        <w:t xml:space="preserve"> revenue requirement. </w:t>
      </w:r>
      <w:r w:rsidR="005E0AA4">
        <w:t xml:space="preserve">A given offset is developed in </w:t>
      </w:r>
      <w:r w:rsidR="003913FA">
        <w:t>coordination with</w:t>
      </w:r>
      <w:r w:rsidR="005E0AA4">
        <w:t xml:space="preserve"> a </w:t>
      </w:r>
      <w:r w:rsidR="00B63974">
        <w:t xml:space="preserve">specific revenue requirement. </w:t>
      </w:r>
      <w:r w:rsidR="003C1344">
        <w:t xml:space="preserve">It is inappropriate to apply the offset calculated </w:t>
      </w:r>
      <w:r w:rsidR="00B03834">
        <w:t>relative to</w:t>
      </w:r>
      <w:r w:rsidR="003C1344">
        <w:t xml:space="preserve"> Staff’s proposed revenue requirement </w:t>
      </w:r>
      <w:r w:rsidR="00D549BF">
        <w:t xml:space="preserve">to another, unrelated revenue requirement. </w:t>
      </w:r>
      <w:r w:rsidR="00587180">
        <w:t xml:space="preserve">This </w:t>
      </w:r>
      <w:r w:rsidR="00037B0D">
        <w:t xml:space="preserve">is further exacerbated by the fact that </w:t>
      </w:r>
      <w:r w:rsidR="00E209CF">
        <w:t>the PFD rejects Staff’s volumetric rates</w:t>
      </w:r>
      <w:r w:rsidR="00B63974">
        <w:t xml:space="preserve">, </w:t>
      </w:r>
      <w:r w:rsidR="00B03834">
        <w:t xml:space="preserve">instead </w:t>
      </w:r>
      <w:r w:rsidR="00B63974">
        <w:t xml:space="preserve">approving Windermere’s </w:t>
      </w:r>
      <w:r w:rsidR="006135E8">
        <w:t xml:space="preserve">existing </w:t>
      </w:r>
      <w:r w:rsidR="00B63974">
        <w:t>volumetric rates</w:t>
      </w:r>
      <w:r w:rsidR="006135E8">
        <w:t xml:space="preserve"> while rejecting its base rates</w:t>
      </w:r>
      <w:r w:rsidR="00B30396">
        <w:t>.</w:t>
      </w:r>
      <w:r w:rsidR="00E209CF">
        <w:t xml:space="preserve"> </w:t>
      </w:r>
      <w:r w:rsidR="00B30396">
        <w:t>The result is a cobbling together of</w:t>
      </w:r>
      <w:r w:rsidR="002846C4">
        <w:t xml:space="preserve"> a revenue requirement</w:t>
      </w:r>
      <w:r w:rsidR="00A52974">
        <w:t xml:space="preserve"> based on</w:t>
      </w:r>
      <w:r w:rsidR="00E209CF">
        <w:t xml:space="preserve"> </w:t>
      </w:r>
      <w:r w:rsidR="009939BB">
        <w:t xml:space="preserve">an unverified allocation factor, </w:t>
      </w:r>
      <w:r w:rsidR="00E209CF">
        <w:t xml:space="preserve">Windermere’s </w:t>
      </w:r>
      <w:r w:rsidR="00951C38">
        <w:t>existing</w:t>
      </w:r>
      <w:r w:rsidR="00FA6CA7">
        <w:t xml:space="preserve"> water and wastewater </w:t>
      </w:r>
      <w:r w:rsidR="00E209CF">
        <w:t xml:space="preserve">volumetric rates, </w:t>
      </w:r>
      <w:r w:rsidR="00B30396">
        <w:t xml:space="preserve">Staff’s offset, and </w:t>
      </w:r>
      <w:r w:rsidR="002B332E">
        <w:t xml:space="preserve">base rates that are reverse engineered to </w:t>
      </w:r>
      <w:r w:rsidR="001A2291">
        <w:t>arrive</w:t>
      </w:r>
      <w:r w:rsidR="002B332E">
        <w:t xml:space="preserve"> </w:t>
      </w:r>
      <w:r w:rsidR="00A8541E">
        <w:t>at</w:t>
      </w:r>
      <w:r w:rsidR="002B332E">
        <w:t xml:space="preserve"> the PFD’s desired revenue.</w:t>
      </w:r>
      <w:r w:rsidR="00AD44BE">
        <w:t xml:space="preserve"> </w:t>
      </w:r>
      <w:r w:rsidR="00911845">
        <w:t xml:space="preserve">The PFD </w:t>
      </w:r>
      <w:r w:rsidR="00BD2FB1">
        <w:t xml:space="preserve">simultaneously adopts Windermere’s existing volumetric rates while also adopting </w:t>
      </w:r>
      <w:r w:rsidR="005915FE">
        <w:t xml:space="preserve">the TRWA allocation factor, </w:t>
      </w:r>
      <w:r w:rsidR="00911845">
        <w:t>ask</w:t>
      </w:r>
      <w:r w:rsidR="005915FE">
        <w:t>ing</w:t>
      </w:r>
      <w:r w:rsidR="00911845">
        <w:t xml:space="preserve"> Staff to incorporate two mutually exclusive components</w:t>
      </w:r>
      <w:r w:rsidR="00415029">
        <w:t xml:space="preserve"> when calculating rates based on the PFD’s revenue requirement.</w:t>
      </w:r>
      <w:r w:rsidR="002A6D4C">
        <w:rPr>
          <w:rStyle w:val="FootnoteReference"/>
        </w:rPr>
        <w:footnoteReference w:id="2"/>
      </w:r>
      <w:r w:rsidR="00415029">
        <w:t xml:space="preserve"> </w:t>
      </w:r>
      <w:r w:rsidR="00E05541">
        <w:t>As shown below, this is impossible.</w:t>
      </w:r>
    </w:p>
    <w:p w14:paraId="3EA31A1C" w14:textId="36498E7C" w:rsidR="003925AE" w:rsidRDefault="00963251" w:rsidP="003925AE">
      <w:pPr>
        <w:spacing w:line="360" w:lineRule="auto"/>
        <w:ind w:firstLine="720"/>
      </w:pPr>
      <w:r>
        <w:t xml:space="preserve">To illustrate the problematic nature of </w:t>
      </w:r>
      <w:r w:rsidR="00286D68">
        <w:t>creating rates using Staff’s offset and the PFD’s revenue requirement, a</w:t>
      </w:r>
      <w:r w:rsidR="006F756D">
        <w:t xml:space="preserve"> brief summary of the math that flows from the PFD’s revenue requirement</w:t>
      </w:r>
      <w:r w:rsidR="006807D4">
        <w:t xml:space="preserve"> is helpful</w:t>
      </w:r>
      <w:r w:rsidR="00286D68">
        <w:t>.</w:t>
      </w:r>
      <w:r w:rsidR="009D683E">
        <w:rPr>
          <w:rStyle w:val="FootnoteReference"/>
        </w:rPr>
        <w:footnoteReference w:id="3"/>
      </w:r>
      <w:r w:rsidR="006F756D">
        <w:t xml:space="preserve"> </w:t>
      </w:r>
      <w:r w:rsidR="00C15981">
        <w:t>Given W</w:t>
      </w:r>
      <w:r w:rsidR="00C935BA">
        <w:t>indermere</w:t>
      </w:r>
      <w:r w:rsidR="00C15981">
        <w:t>’s position</w:t>
      </w:r>
      <w:r w:rsidR="00C935BA">
        <w:t xml:space="preserve"> that approximately 60% of its revenue comes from water </w:t>
      </w:r>
      <w:r w:rsidR="00C935BA">
        <w:lastRenderedPageBreak/>
        <w:t>and 40% of its revenue comes from wastewater</w:t>
      </w:r>
      <w:r w:rsidR="003925AE">
        <w:t>, and</w:t>
      </w:r>
      <w:r w:rsidR="00C935BA">
        <w:t xml:space="preserve"> </w:t>
      </w:r>
      <w:r w:rsidR="003925AE">
        <w:t>g</w:t>
      </w:r>
      <w:r w:rsidR="001E4D06">
        <w:t xml:space="preserve">iven a revenue requirement of $527,714, </w:t>
      </w:r>
      <w:r w:rsidR="00535E34">
        <w:t xml:space="preserve">Windermere would need to </w:t>
      </w:r>
      <w:r w:rsidR="001075F4">
        <w:t>generate $</w:t>
      </w:r>
      <w:r w:rsidR="00581352">
        <w:t xml:space="preserve">316,628 </w:t>
      </w:r>
      <w:r w:rsidR="007758ED">
        <w:t>in water revenue</w:t>
      </w:r>
      <w:r w:rsidR="001E4D06">
        <w:t xml:space="preserve"> and </w:t>
      </w:r>
      <w:r w:rsidR="00B97EE6">
        <w:t>$211,086 in wastewater revenue</w:t>
      </w:r>
      <w:r w:rsidR="003903A7">
        <w:t>.</w:t>
      </w:r>
      <w:r w:rsidR="003925AE">
        <w:t xml:space="preserve"> </w:t>
      </w:r>
      <w:r w:rsidR="00647924">
        <w:t xml:space="preserve">Windermere further indicated </w:t>
      </w:r>
      <w:r w:rsidR="000A27D1">
        <w:t>through t</w:t>
      </w:r>
      <w:r w:rsidR="00A56C56">
        <w:t xml:space="preserve">he TRWA </w:t>
      </w:r>
      <w:r w:rsidR="002514E6">
        <w:t>r</w:t>
      </w:r>
      <w:r w:rsidR="00A56C56">
        <w:t xml:space="preserve">ate </w:t>
      </w:r>
      <w:r w:rsidR="002514E6">
        <w:t>a</w:t>
      </w:r>
      <w:r w:rsidR="00A56C56">
        <w:t xml:space="preserve">nalysis </w:t>
      </w:r>
      <w:r w:rsidR="00647924">
        <w:t xml:space="preserve">that it allocated </w:t>
      </w:r>
      <w:r w:rsidR="00461C5F">
        <w:t>61</w:t>
      </w:r>
      <w:r w:rsidR="00725742">
        <w:t>.48</w:t>
      </w:r>
      <w:r w:rsidR="00461C5F">
        <w:t>% of its expenses to fixed costs, while allocating the remaining 3</w:t>
      </w:r>
      <w:r w:rsidR="00287E17">
        <w:t>8.53</w:t>
      </w:r>
      <w:r w:rsidR="00461C5F">
        <w:t xml:space="preserve">% to variable costs. </w:t>
      </w:r>
      <w:r w:rsidR="001E7B53">
        <w:t xml:space="preserve">These allocations are </w:t>
      </w:r>
      <w:r w:rsidR="00F550E9">
        <w:t>a</w:t>
      </w:r>
      <w:r w:rsidR="001E7B53">
        <w:t xml:space="preserve">pplied to </w:t>
      </w:r>
      <w:r w:rsidR="2704777F">
        <w:t>e</w:t>
      </w:r>
      <w:r w:rsidR="000607B1">
        <w:t xml:space="preserve">ach of the </w:t>
      </w:r>
      <w:r w:rsidR="001E7B53">
        <w:t xml:space="preserve">water and wastewater </w:t>
      </w:r>
      <w:r w:rsidR="004A7A39">
        <w:t>revenue requirements</w:t>
      </w:r>
      <w:r w:rsidR="00F550E9">
        <w:t>.</w:t>
      </w:r>
    </w:p>
    <w:p w14:paraId="24F9594A" w14:textId="576855D2" w:rsidR="003429DE" w:rsidRDefault="0063518F" w:rsidP="00F37F0D">
      <w:pPr>
        <w:spacing w:line="360" w:lineRule="auto"/>
        <w:ind w:firstLine="720"/>
      </w:pPr>
      <w:r>
        <w:t>Calculating Windermere’s water rates b</w:t>
      </w:r>
      <w:r w:rsidR="00B7417D">
        <w:t xml:space="preserve">ased on the allocation shown in the TRWA rate </w:t>
      </w:r>
      <w:r w:rsidR="002514E6">
        <w:t>analysis</w:t>
      </w:r>
      <w:r w:rsidR="0008386E">
        <w:t>, which is the same allocation factor approved by the PFD</w:t>
      </w:r>
      <w:r w:rsidR="00B7417D">
        <w:t xml:space="preserve">, </w:t>
      </w:r>
      <w:r w:rsidR="007758ED">
        <w:t>some 61</w:t>
      </w:r>
      <w:r w:rsidR="00287E17">
        <w:t>.48</w:t>
      </w:r>
      <w:r w:rsidR="007758ED">
        <w:t>%</w:t>
      </w:r>
      <w:r w:rsidR="001B6696">
        <w:t xml:space="preserve"> of $316,628</w:t>
      </w:r>
      <w:r w:rsidR="007758ED">
        <w:t xml:space="preserve">, or </w:t>
      </w:r>
      <w:r w:rsidR="003C7523">
        <w:t xml:space="preserve">$193,143 should be recovered through base rates, and </w:t>
      </w:r>
      <w:r w:rsidR="00356401">
        <w:t>3</w:t>
      </w:r>
      <w:r w:rsidR="00287E17">
        <w:t>8.53</w:t>
      </w:r>
      <w:r w:rsidR="00356401">
        <w:t xml:space="preserve">%, or </w:t>
      </w:r>
      <w:r w:rsidR="007C5DB3">
        <w:t>$123,485</w:t>
      </w:r>
      <w:r w:rsidR="00356401">
        <w:t>,</w:t>
      </w:r>
      <w:r w:rsidR="007C5DB3">
        <w:t xml:space="preserve"> should be recovered </w:t>
      </w:r>
      <w:r w:rsidR="00091B82">
        <w:t>from volumetric charges.</w:t>
      </w:r>
      <w:r w:rsidR="00E2030A">
        <w:t xml:space="preserve"> </w:t>
      </w:r>
      <w:r w:rsidR="00E75648">
        <w:t xml:space="preserve">Using the TRWA </w:t>
      </w:r>
      <w:r w:rsidR="00A54BB7">
        <w:t xml:space="preserve">fixed and variable cost </w:t>
      </w:r>
      <w:r w:rsidR="00E75648">
        <w:t>allocation</w:t>
      </w:r>
      <w:r w:rsidR="00A75F5D">
        <w:t xml:space="preserve">, the monthly water base rate </w:t>
      </w:r>
      <w:r w:rsidR="00A75F5D" w:rsidRPr="44908860">
        <w:rPr>
          <w:i/>
          <w:iCs/>
        </w:rPr>
        <w:t>should</w:t>
      </w:r>
      <w:r w:rsidR="00A75F5D">
        <w:t xml:space="preserve"> be $</w:t>
      </w:r>
      <w:r w:rsidR="002B4BB8">
        <w:t>59.86</w:t>
      </w:r>
      <w:r w:rsidR="00A75F5D">
        <w:t>.</w:t>
      </w:r>
      <w:r w:rsidR="00A75F5D" w:rsidRPr="44908860">
        <w:rPr>
          <w:i/>
          <w:iCs/>
        </w:rPr>
        <w:t xml:space="preserve"> </w:t>
      </w:r>
      <w:r w:rsidR="0065396D">
        <w:t>However, based</w:t>
      </w:r>
      <w:r w:rsidR="003717F7">
        <w:t xml:space="preserve"> on the test year volumetric revenue provided by </w:t>
      </w:r>
      <w:r w:rsidR="00EC57DB">
        <w:t xml:space="preserve">Windermere, its </w:t>
      </w:r>
      <w:r w:rsidR="007B1C40">
        <w:t xml:space="preserve">current </w:t>
      </w:r>
      <w:r w:rsidR="00EC57DB">
        <w:t>volumetric</w:t>
      </w:r>
      <w:r w:rsidR="00E75648">
        <w:t xml:space="preserve"> water</w:t>
      </w:r>
      <w:r w:rsidR="00EC57DB">
        <w:t xml:space="preserve"> rates generate </w:t>
      </w:r>
      <w:r w:rsidR="00E51050">
        <w:t>only</w:t>
      </w:r>
      <w:r w:rsidR="00EC57DB">
        <w:t xml:space="preserve"> </w:t>
      </w:r>
      <w:r w:rsidR="009D07B0">
        <w:t xml:space="preserve">$75,045 per year. </w:t>
      </w:r>
      <w:r w:rsidR="001B625B">
        <w:t xml:space="preserve">Because the PFD </w:t>
      </w:r>
      <w:r w:rsidR="00FD20EC">
        <w:t xml:space="preserve">also </w:t>
      </w:r>
      <w:r w:rsidR="002B5BC0">
        <w:t xml:space="preserve">appears to </w:t>
      </w:r>
      <w:r w:rsidR="001B625B">
        <w:t>a</w:t>
      </w:r>
      <w:r w:rsidR="00FD20EC">
        <w:t>pprove</w:t>
      </w:r>
      <w:r w:rsidR="001B625B">
        <w:t xml:space="preserve"> Windermere’s existing volumetric rates</w:t>
      </w:r>
      <w:r w:rsidR="00E500C1">
        <w:t xml:space="preserve">, </w:t>
      </w:r>
      <w:r w:rsidR="00583234">
        <w:t>t</w:t>
      </w:r>
      <w:r w:rsidR="00A0172C">
        <w:t>his would necessitate</w:t>
      </w:r>
      <w:r w:rsidR="0015536E">
        <w:t xml:space="preserve"> recovery of </w:t>
      </w:r>
      <w:r w:rsidR="003D6F93">
        <w:t>$241,583</w:t>
      </w:r>
      <w:r w:rsidR="00C70D97">
        <w:t xml:space="preserve"> </w:t>
      </w:r>
      <w:r w:rsidR="005726E3">
        <w:t>in</w:t>
      </w:r>
      <w:r w:rsidR="00A50A75">
        <w:t xml:space="preserve"> </w:t>
      </w:r>
      <w:r w:rsidR="00C70D97">
        <w:t>water base rate</w:t>
      </w:r>
      <w:r w:rsidR="005726E3">
        <w:t xml:space="preserve"> revenue</w:t>
      </w:r>
      <w:r w:rsidR="00C70D97">
        <w:t>, requiring</w:t>
      </w:r>
      <w:r w:rsidR="00A0172C">
        <w:t xml:space="preserve"> a monthly water base rate of $74.29.</w:t>
      </w:r>
      <w:r w:rsidR="008F52A2">
        <w:t xml:space="preserve"> </w:t>
      </w:r>
      <w:r w:rsidR="00122C2F">
        <w:t xml:space="preserve">The resulting allocation </w:t>
      </w:r>
      <w:r w:rsidR="006A0D74">
        <w:t xml:space="preserve">of 76.30% to fixed costs and 23.70% </w:t>
      </w:r>
      <w:r w:rsidR="00DB6BEC">
        <w:t xml:space="preserve">to </w:t>
      </w:r>
      <w:r w:rsidR="006A0D74">
        <w:t>variable costs</w:t>
      </w:r>
      <w:r w:rsidR="00F220E9">
        <w:t xml:space="preserve"> differs wildly from the allocation in the TRWA study and</w:t>
      </w:r>
      <w:r w:rsidR="006A0D74">
        <w:t xml:space="preserve"> </w:t>
      </w:r>
      <w:r w:rsidR="00122C2F">
        <w:t>is not supported by evidence in the record.</w:t>
      </w:r>
    </w:p>
    <w:p w14:paraId="7A91F4EC" w14:textId="7BA6D8CF" w:rsidR="00544D95" w:rsidRDefault="00C17768" w:rsidP="00544D95">
      <w:pPr>
        <w:spacing w:line="360" w:lineRule="auto"/>
        <w:ind w:firstLine="720"/>
      </w:pPr>
      <w:r>
        <w:t xml:space="preserve">The same disconnect occurs when calculating the wastewater </w:t>
      </w:r>
      <w:r w:rsidR="00A03840">
        <w:t xml:space="preserve">base </w:t>
      </w:r>
      <w:r>
        <w:t xml:space="preserve">rates. </w:t>
      </w:r>
      <w:r w:rsidR="00421AFE">
        <w:t>Calculating Windermere’s wastewater rates using</w:t>
      </w:r>
      <w:r>
        <w:t xml:space="preserve"> the allocation shown in the TRWA rate </w:t>
      </w:r>
      <w:r w:rsidR="00B74A24">
        <w:t>analysis</w:t>
      </w:r>
      <w:r w:rsidR="002B5BC0">
        <w:t>, which is the same allocation factor approved by the PFD</w:t>
      </w:r>
      <w:r>
        <w:t>, 61</w:t>
      </w:r>
      <w:r w:rsidR="006A0D74">
        <w:t>.48</w:t>
      </w:r>
      <w:r>
        <w:t>%</w:t>
      </w:r>
      <w:r w:rsidR="00C33689">
        <w:t xml:space="preserve"> of $211,086</w:t>
      </w:r>
      <w:r>
        <w:t>, or $1</w:t>
      </w:r>
      <w:r w:rsidR="005E1E60">
        <w:t>28,7</w:t>
      </w:r>
      <w:r w:rsidR="00BD30A1">
        <w:t>62</w:t>
      </w:r>
      <w:r>
        <w:t xml:space="preserve"> should be recovered through base rates, and 3</w:t>
      </w:r>
      <w:r w:rsidR="006A0D74">
        <w:t>8.53</w:t>
      </w:r>
      <w:r>
        <w:t>%, or $</w:t>
      </w:r>
      <w:r w:rsidR="00B32072">
        <w:t>82,324</w:t>
      </w:r>
      <w:r>
        <w:t>, should be recovered from volumetric charges.</w:t>
      </w:r>
      <w:r w:rsidR="00B32072">
        <w:t xml:space="preserve"> </w:t>
      </w:r>
      <w:r w:rsidR="00536239">
        <w:t>Therefore, u</w:t>
      </w:r>
      <w:r w:rsidR="00C20F40">
        <w:t xml:space="preserve">sing the TRWA allocation, the monthly wastewater base rate </w:t>
      </w:r>
      <w:r w:rsidR="00C20F40" w:rsidRPr="44908860">
        <w:rPr>
          <w:i/>
          <w:iCs/>
        </w:rPr>
        <w:t>should</w:t>
      </w:r>
      <w:r w:rsidR="00C20F40">
        <w:t xml:space="preserve"> be </w:t>
      </w:r>
      <w:r w:rsidR="00FB2999">
        <w:t xml:space="preserve">approximately </w:t>
      </w:r>
      <w:r w:rsidR="00C20F40">
        <w:t>$</w:t>
      </w:r>
      <w:r w:rsidR="002B4BB8">
        <w:t>44.14</w:t>
      </w:r>
      <w:r w:rsidR="00C20F40">
        <w:t>.</w:t>
      </w:r>
      <w:r w:rsidR="00544D95">
        <w:t xml:space="preserve"> However, based on the test year volumetric revenue provided by Windermere, its volumetric </w:t>
      </w:r>
      <w:r w:rsidR="0007079A">
        <w:t>waste</w:t>
      </w:r>
      <w:r w:rsidR="00544D95">
        <w:t>water rate generate</w:t>
      </w:r>
      <w:r w:rsidR="00815D74">
        <w:t>s</w:t>
      </w:r>
      <w:r w:rsidR="00544D95">
        <w:t xml:space="preserve"> $</w:t>
      </w:r>
      <w:r w:rsidR="00E01419">
        <w:t>33</w:t>
      </w:r>
      <w:r w:rsidR="00544D95">
        <w:t>,0</w:t>
      </w:r>
      <w:r w:rsidR="00E01419">
        <w:t>11</w:t>
      </w:r>
      <w:r w:rsidR="00544D95">
        <w:t xml:space="preserve"> per year. </w:t>
      </w:r>
      <w:r w:rsidR="002B5BC0">
        <w:t>Because the PFD also appears to approve Windermere’s existing volumetric rates, t</w:t>
      </w:r>
      <w:r w:rsidR="00544D95">
        <w:t>his would necessitate recovery of $</w:t>
      </w:r>
      <w:r w:rsidR="003C4932">
        <w:t>178,075</w:t>
      </w:r>
      <w:r w:rsidR="00544D95">
        <w:t xml:space="preserve"> from </w:t>
      </w:r>
      <w:r w:rsidR="00815D74">
        <w:t xml:space="preserve">its </w:t>
      </w:r>
      <w:r w:rsidR="003C4932">
        <w:t>waste</w:t>
      </w:r>
      <w:r w:rsidR="00544D95">
        <w:t>water base rate, requiring a monthly water base rate of $</w:t>
      </w:r>
      <w:r w:rsidR="007023B0">
        <w:t>60.57</w:t>
      </w:r>
      <w:r w:rsidR="00544D95">
        <w:t xml:space="preserve">. </w:t>
      </w:r>
      <w:r w:rsidR="00122C2F">
        <w:t>The resulting allocation</w:t>
      </w:r>
      <w:r w:rsidR="00881823">
        <w:t xml:space="preserve"> of 84.36% to fixed costs and 15.64% to variable costs</w:t>
      </w:r>
      <w:r w:rsidR="00122C2F">
        <w:t xml:space="preserve"> </w:t>
      </w:r>
      <w:r w:rsidR="00F220E9">
        <w:t xml:space="preserve">differs wildly from the allocation in the TRWA study and </w:t>
      </w:r>
      <w:r w:rsidR="00122C2F">
        <w:t>is not supported by evidence in the record.</w:t>
      </w:r>
    </w:p>
    <w:p w14:paraId="089723E9" w14:textId="5A34095B" w:rsidR="00C17768" w:rsidRDefault="0062679B" w:rsidP="00F37F0D">
      <w:pPr>
        <w:spacing w:line="360" w:lineRule="auto"/>
        <w:ind w:firstLine="720"/>
      </w:pPr>
      <w:r>
        <w:t xml:space="preserve">It is unclear to Staff whether it </w:t>
      </w:r>
      <w:r w:rsidR="00073AAC">
        <w:t>should</w:t>
      </w:r>
      <w:r>
        <w:t xml:space="preserve"> rely on the TRWA allocation to calculate base rates, or if it should rely on </w:t>
      </w:r>
      <w:r w:rsidR="00C8312A">
        <w:t>the volumetric revenue from Windermere’s test year. To rely on the volumetric revenue from the test year is to create</w:t>
      </w:r>
      <w:r w:rsidR="00E728DE">
        <w:t xml:space="preserve"> an</w:t>
      </w:r>
      <w:r w:rsidR="00C8312A">
        <w:t xml:space="preserve"> allocation</w:t>
      </w:r>
      <w:r w:rsidR="00E728DE">
        <w:t xml:space="preserve"> between fixed and variable costs</w:t>
      </w:r>
      <w:r w:rsidR="00C8312A">
        <w:t xml:space="preserve"> that has been neither evaluated no</w:t>
      </w:r>
      <w:r w:rsidR="00E728DE">
        <w:t>r</w:t>
      </w:r>
      <w:r w:rsidR="00C8312A">
        <w:t xml:space="preserve"> approved.</w:t>
      </w:r>
      <w:r w:rsidR="00E728DE">
        <w:t xml:space="preserve"> </w:t>
      </w:r>
      <w:r w:rsidR="00035212">
        <w:t xml:space="preserve">Further, an allocation factor should drive </w:t>
      </w:r>
      <w:r w:rsidR="00B850A3">
        <w:t xml:space="preserve">rates; it is not appropriate for rates to drive an allocation, which is exactly what the PFD would </w:t>
      </w:r>
      <w:r w:rsidR="007A5074">
        <w:t xml:space="preserve">require. If </w:t>
      </w:r>
      <w:r w:rsidR="007A5074">
        <w:lastRenderedPageBreak/>
        <w:t xml:space="preserve">Staff properly calculates Windermere’s rates, using the </w:t>
      </w:r>
      <w:r w:rsidR="00A31C26">
        <w:t xml:space="preserve">PFD’s revenue requirement and the allocation adopted in the TRWA study, the allocation that has been evaluated and approved, then Staff </w:t>
      </w:r>
      <w:r w:rsidR="00A31C26">
        <w:rPr>
          <w:i/>
          <w:iCs/>
        </w:rPr>
        <w:t>must</w:t>
      </w:r>
      <w:r w:rsidR="00A31C26">
        <w:t xml:space="preserve"> </w:t>
      </w:r>
      <w:r w:rsidR="004B2F09">
        <w:t>redesign Windermere’s volumetric rates.</w:t>
      </w:r>
      <w:r w:rsidR="00C8312A">
        <w:t xml:space="preserve"> </w:t>
      </w:r>
      <w:r w:rsidR="00264BC4">
        <w:t xml:space="preserve">Staff is providing, for the Commission’s consideration, both rate designs: one using </w:t>
      </w:r>
      <w:r w:rsidR="007D0B64">
        <w:t xml:space="preserve">an allocation factor that Staff has no way to know is valid, </w:t>
      </w:r>
      <w:r w:rsidR="00FF40AB">
        <w:t xml:space="preserve">the other using volumetric rates that </w:t>
      </w:r>
      <w:r w:rsidR="00E91BF7">
        <w:t xml:space="preserve">are not approved. As Staff has repeatedly noted, this is the problem with adjusting only one piece of a rate design: </w:t>
      </w:r>
      <w:r w:rsidR="00F91695">
        <w:t xml:space="preserve">revenue requirement, </w:t>
      </w:r>
      <w:r w:rsidR="00B06C7F">
        <w:t>allocation,</w:t>
      </w:r>
      <w:r w:rsidR="00EB5734">
        <w:t xml:space="preserve"> offsets</w:t>
      </w:r>
      <w:r w:rsidR="00B06C7F">
        <w:t xml:space="preserve"> volumetric rates, and base rates are all interdependent. Changing one</w:t>
      </w:r>
      <w:r w:rsidR="00F46935">
        <w:t xml:space="preserve"> element</w:t>
      </w:r>
      <w:r w:rsidR="00B06C7F">
        <w:t xml:space="preserve"> affects all others</w:t>
      </w:r>
      <w:r w:rsidR="00D4552F">
        <w:t xml:space="preserve">, and each element must be re-evaluated in turn. </w:t>
      </w:r>
    </w:p>
    <w:p w14:paraId="332C1861" w14:textId="1CAAABF4" w:rsidR="00FA0496" w:rsidRDefault="00097A56" w:rsidP="7C2CE487">
      <w:pPr>
        <w:spacing w:line="360" w:lineRule="auto"/>
        <w:ind w:firstLine="720"/>
        <w:rPr>
          <w:rStyle w:val="ui-provider"/>
        </w:rPr>
      </w:pPr>
      <w:r w:rsidRPr="6CFC8A1D">
        <w:rPr>
          <w:rStyle w:val="ui-provider"/>
        </w:rPr>
        <w:t>T</w:t>
      </w:r>
      <w:r w:rsidR="005679EC" w:rsidRPr="6CFC8A1D">
        <w:rPr>
          <w:rStyle w:val="ui-provider"/>
        </w:rPr>
        <w:t>here are two ma</w:t>
      </w:r>
      <w:r w:rsidR="00643202" w:rsidRPr="6CFC8A1D">
        <w:rPr>
          <w:rStyle w:val="ui-provider"/>
        </w:rPr>
        <w:t>j</w:t>
      </w:r>
      <w:r w:rsidR="005679EC" w:rsidRPr="6CFC8A1D">
        <w:rPr>
          <w:rStyle w:val="ui-provider"/>
        </w:rPr>
        <w:t xml:space="preserve">or issues with </w:t>
      </w:r>
      <w:r w:rsidR="00643202" w:rsidRPr="6CFC8A1D">
        <w:rPr>
          <w:rStyle w:val="ui-provider"/>
        </w:rPr>
        <w:t>crafting base rates in the manner suggested by the PFD. First, such calculations</w:t>
      </w:r>
      <w:r w:rsidRPr="6CFC8A1D">
        <w:rPr>
          <w:rStyle w:val="ui-provider"/>
        </w:rPr>
        <w:t xml:space="preserve"> would ignore</w:t>
      </w:r>
      <w:r w:rsidR="00B62114" w:rsidRPr="6CFC8A1D">
        <w:rPr>
          <w:rStyle w:val="ui-provider"/>
        </w:rPr>
        <w:t xml:space="preserve"> standard</w:t>
      </w:r>
      <w:r w:rsidR="00A27E8A" w:rsidRPr="6CFC8A1D">
        <w:rPr>
          <w:rStyle w:val="ui-provider"/>
        </w:rPr>
        <w:t xml:space="preserve"> Commission policy</w:t>
      </w:r>
      <w:r w:rsidR="00B62114" w:rsidRPr="6CFC8A1D">
        <w:rPr>
          <w:rStyle w:val="ui-provider"/>
        </w:rPr>
        <w:t>, which is</w:t>
      </w:r>
      <w:r w:rsidR="00A27E8A" w:rsidRPr="6CFC8A1D">
        <w:rPr>
          <w:rStyle w:val="ui-provider"/>
        </w:rPr>
        <w:t xml:space="preserve"> to review and evaluate whether costs of service are properly allocated</w:t>
      </w:r>
      <w:r w:rsidR="008D6004" w:rsidRPr="6CFC8A1D">
        <w:rPr>
          <w:rStyle w:val="ui-provider"/>
        </w:rPr>
        <w:t xml:space="preserve"> before setting rates</w:t>
      </w:r>
      <w:r w:rsidR="00A27E8A" w:rsidRPr="6CFC8A1D">
        <w:rPr>
          <w:rStyle w:val="ui-provider"/>
        </w:rPr>
        <w:t>. W</w:t>
      </w:r>
      <w:r w:rsidR="000C602E">
        <w:t xml:space="preserve">hen submitting a rate filing package, </w:t>
      </w:r>
      <w:r w:rsidR="007432D3" w:rsidRPr="6CFC8A1D">
        <w:rPr>
          <w:rStyle w:val="ui-provider"/>
        </w:rPr>
        <w:t>utilities are directed to “[p]</w:t>
      </w:r>
      <w:proofErr w:type="spellStart"/>
      <w:r w:rsidR="000E35E8" w:rsidRPr="6CFC8A1D">
        <w:rPr>
          <w:rStyle w:val="ui-provider"/>
        </w:rPr>
        <w:t>rovide</w:t>
      </w:r>
      <w:proofErr w:type="spellEnd"/>
      <w:r w:rsidR="000E35E8" w:rsidRPr="6CFC8A1D">
        <w:rPr>
          <w:rStyle w:val="ui-provider"/>
        </w:rPr>
        <w:t xml:space="preserve"> a detailed cost analysis that supports the utility’s fixed rate customer charges included in the utility’s general rate, by meter size, showing all direct and indirect costs included.</w:t>
      </w:r>
      <w:r w:rsidR="007432D3" w:rsidRPr="6CFC8A1D">
        <w:rPr>
          <w:rStyle w:val="ui-provider"/>
        </w:rPr>
        <w:t xml:space="preserve">” </w:t>
      </w:r>
      <w:r w:rsidR="00BF0B7D" w:rsidRPr="6CFC8A1D">
        <w:rPr>
          <w:rStyle w:val="ui-provider"/>
        </w:rPr>
        <w:t xml:space="preserve">To adopt rates in the method </w:t>
      </w:r>
      <w:r w:rsidR="004757EE" w:rsidRPr="6CFC8A1D">
        <w:rPr>
          <w:rStyle w:val="ui-provider"/>
        </w:rPr>
        <w:t xml:space="preserve">suggested by </w:t>
      </w:r>
      <w:r w:rsidR="00BF0B7D" w:rsidRPr="6CFC8A1D">
        <w:rPr>
          <w:rStyle w:val="ui-provider"/>
        </w:rPr>
        <w:t xml:space="preserve">the PFD is to </w:t>
      </w:r>
      <w:r w:rsidR="00711472" w:rsidRPr="6CFC8A1D">
        <w:rPr>
          <w:rStyle w:val="ui-provider"/>
        </w:rPr>
        <w:t xml:space="preserve">disregard information that is explicitly required in the Commission’s rate filing package. </w:t>
      </w:r>
      <w:r w:rsidR="0012653B" w:rsidRPr="6CFC8A1D">
        <w:rPr>
          <w:rStyle w:val="ui-provider"/>
        </w:rPr>
        <w:t>If utilities must provide support for allocations between fixed and variable costs, but then</w:t>
      </w:r>
      <w:r w:rsidR="00423156" w:rsidRPr="6CFC8A1D">
        <w:rPr>
          <w:rStyle w:val="ui-provider"/>
        </w:rPr>
        <w:t xml:space="preserve"> may subsequently</w:t>
      </w:r>
      <w:r w:rsidR="0012653B" w:rsidRPr="6CFC8A1D">
        <w:rPr>
          <w:rStyle w:val="ui-provider"/>
        </w:rPr>
        <w:t xml:space="preserve"> </w:t>
      </w:r>
      <w:r w:rsidR="00091A41" w:rsidRPr="6CFC8A1D">
        <w:rPr>
          <w:rStyle w:val="ui-provider"/>
        </w:rPr>
        <w:t>ignore those allocations</w:t>
      </w:r>
      <w:r w:rsidR="00423156" w:rsidRPr="6CFC8A1D">
        <w:rPr>
          <w:rStyle w:val="ui-provider"/>
        </w:rPr>
        <w:t>, it renders a significant portion of the rate filing package toothless.</w:t>
      </w:r>
      <w:r w:rsidR="00091A41" w:rsidRPr="6CFC8A1D">
        <w:rPr>
          <w:rStyle w:val="ui-provider"/>
        </w:rPr>
        <w:t xml:space="preserve"> </w:t>
      </w:r>
      <w:r w:rsidR="462C58C1" w:rsidRPr="459FEB63">
        <w:rPr>
          <w:rStyle w:val="ui-provider"/>
        </w:rPr>
        <w:t xml:space="preserve">While this is </w:t>
      </w:r>
      <w:r w:rsidR="568BF1B4" w:rsidRPr="459FEB63">
        <w:rPr>
          <w:rStyle w:val="ui-provider"/>
        </w:rPr>
        <w:t xml:space="preserve">a </w:t>
      </w:r>
      <w:r w:rsidR="462C58C1" w:rsidRPr="459FEB63">
        <w:rPr>
          <w:rStyle w:val="ui-provider"/>
        </w:rPr>
        <w:t xml:space="preserve">rate appeal involving a water supply corporation, and </w:t>
      </w:r>
      <w:r w:rsidR="625FC9C8" w:rsidRPr="459FEB63">
        <w:rPr>
          <w:rStyle w:val="ui-provider"/>
        </w:rPr>
        <w:t>investor-owned utilitie</w:t>
      </w:r>
      <w:r w:rsidR="462C58C1" w:rsidRPr="459FEB63">
        <w:rPr>
          <w:rStyle w:val="ui-provider"/>
        </w:rPr>
        <w:t>s</w:t>
      </w:r>
      <w:r w:rsidR="154D2EC2" w:rsidRPr="459FEB63">
        <w:rPr>
          <w:rStyle w:val="ui-provider"/>
        </w:rPr>
        <w:t xml:space="preserve"> are required to use the rate filing package</w:t>
      </w:r>
      <w:r w:rsidR="462C58C1" w:rsidRPr="459FEB63">
        <w:rPr>
          <w:rStyle w:val="ui-provider"/>
        </w:rPr>
        <w:t xml:space="preserve">, </w:t>
      </w:r>
      <w:r w:rsidR="1908295A" w:rsidRPr="459FEB63">
        <w:rPr>
          <w:rStyle w:val="ui-provider"/>
        </w:rPr>
        <w:t>proper allocation is a necessary component of a</w:t>
      </w:r>
      <w:r w:rsidR="144CD6DB" w:rsidRPr="459FEB63">
        <w:rPr>
          <w:rStyle w:val="ui-provider"/>
        </w:rPr>
        <w:t>ny</w:t>
      </w:r>
      <w:r w:rsidR="1908295A" w:rsidRPr="459FEB63">
        <w:rPr>
          <w:rStyle w:val="ui-provider"/>
        </w:rPr>
        <w:t xml:space="preserve"> valid rate design.</w:t>
      </w:r>
      <w:r w:rsidR="00E89C01" w:rsidRPr="459FEB63">
        <w:rPr>
          <w:rStyle w:val="ui-provider"/>
        </w:rPr>
        <w:t xml:space="preserve"> As noted in </w:t>
      </w:r>
      <w:r w:rsidR="00E89C01" w:rsidRPr="7C2CE487">
        <w:rPr>
          <w:rStyle w:val="ui-provider"/>
          <w:i/>
          <w:iCs/>
        </w:rPr>
        <w:t>Bear Creek</w:t>
      </w:r>
      <w:r w:rsidR="00E89C01" w:rsidRPr="7C2CE487">
        <w:rPr>
          <w:rStyle w:val="ui-provider"/>
        </w:rPr>
        <w:t>, “[b]</w:t>
      </w:r>
      <w:proofErr w:type="spellStart"/>
      <w:r w:rsidR="00E89C01" w:rsidRPr="7C2CE487">
        <w:rPr>
          <w:rStyle w:val="ui-provider"/>
        </w:rPr>
        <w:t>efore</w:t>
      </w:r>
      <w:proofErr w:type="spellEnd"/>
      <w:r w:rsidR="00E89C01" w:rsidRPr="7C2CE487">
        <w:rPr>
          <w:rStyle w:val="ui-provider"/>
        </w:rPr>
        <w:t xml:space="preserve"> the Commission can design new rates, it must first determine a reasonable revenue requirement”.</w:t>
      </w:r>
      <w:r w:rsidRPr="00442181">
        <w:rPr>
          <w:rStyle w:val="ui-provider"/>
          <w:vertAlign w:val="superscript"/>
        </w:rPr>
        <w:footnoteReference w:id="4"/>
      </w:r>
      <w:r w:rsidR="2ED94F38" w:rsidRPr="7C2CE487">
        <w:rPr>
          <w:rStyle w:val="ui-provider"/>
        </w:rPr>
        <w:t xml:space="preserve"> Rate setting follows a process: revenue requirement,</w:t>
      </w:r>
      <w:r w:rsidR="0E2BC1D1" w:rsidRPr="7C2CE487">
        <w:rPr>
          <w:rStyle w:val="ui-provider"/>
        </w:rPr>
        <w:t xml:space="preserve"> then allocation, then rates.</w:t>
      </w:r>
    </w:p>
    <w:p w14:paraId="302C411C" w14:textId="4795004F" w:rsidR="000D5FC1" w:rsidRDefault="00433A93" w:rsidP="00F37F0D">
      <w:pPr>
        <w:spacing w:line="360" w:lineRule="auto"/>
        <w:ind w:firstLine="720"/>
      </w:pPr>
      <w:r>
        <w:t xml:space="preserve">In terms of practical application, </w:t>
      </w:r>
      <w:r w:rsidR="00DD0A0F">
        <w:t>the PFD’s approach</w:t>
      </w:r>
      <w:r>
        <w:t xml:space="preserve"> has negative real-worl</w:t>
      </w:r>
      <w:r w:rsidR="00DD0A0F">
        <w:t>d</w:t>
      </w:r>
      <w:r>
        <w:t xml:space="preserve"> implications. </w:t>
      </w:r>
      <w:r w:rsidR="003000A8" w:rsidRPr="00433A93">
        <w:t xml:space="preserve">Cost causation principles try to align </w:t>
      </w:r>
      <w:r w:rsidR="003000A8">
        <w:t>a</w:t>
      </w:r>
      <w:r w:rsidR="003000A8" w:rsidRPr="00433A93">
        <w:t xml:space="preserve"> rate with drivers for the changes in the underlying rate components.</w:t>
      </w:r>
      <w:r w:rsidR="003000A8">
        <w:t xml:space="preserve"> The PFD would have Staff ignore those principles. </w:t>
      </w:r>
      <w:r w:rsidR="00BB7AE8">
        <w:t>Reduced v</w:t>
      </w:r>
      <w:r w:rsidRPr="00433A93">
        <w:t xml:space="preserve">oluntary water conservation could be </w:t>
      </w:r>
      <w:r>
        <w:t>one such</w:t>
      </w:r>
      <w:r w:rsidRPr="00433A93">
        <w:t xml:space="preserve"> negative consequence. If </w:t>
      </w:r>
      <w:r>
        <w:t xml:space="preserve">a utility’s </w:t>
      </w:r>
      <w:r w:rsidRPr="00433A93">
        <w:t xml:space="preserve">gallonage rate is too low, </w:t>
      </w:r>
      <w:r>
        <w:t>ratepayers</w:t>
      </w:r>
      <w:r w:rsidRPr="00433A93">
        <w:t xml:space="preserve"> will not try to conserve. A </w:t>
      </w:r>
      <w:r w:rsidR="00545DCB">
        <w:t xml:space="preserve">given </w:t>
      </w:r>
      <w:r w:rsidRPr="00433A93">
        <w:t xml:space="preserve">ratepayer </w:t>
      </w:r>
      <w:r w:rsidR="00545DCB">
        <w:t>would pay</w:t>
      </w:r>
      <w:r w:rsidRPr="00433A93">
        <w:t xml:space="preserve"> close to the same monthly rate regardless of usage</w:t>
      </w:r>
      <w:r w:rsidR="00545DCB">
        <w:t xml:space="preserve"> and would therefore have no incentive to conserve water</w:t>
      </w:r>
      <w:r w:rsidRPr="00433A93">
        <w:t xml:space="preserve">. Conversely, in times </w:t>
      </w:r>
      <w:r w:rsidRPr="00433A93">
        <w:lastRenderedPageBreak/>
        <w:t>of high usage, the utility might not recover enough costs for variable items</w:t>
      </w:r>
      <w:r w:rsidR="005D182C">
        <w:t>, such as</w:t>
      </w:r>
      <w:r w:rsidRPr="00433A93">
        <w:t xml:space="preserve"> chemicals</w:t>
      </w:r>
      <w:r>
        <w:t xml:space="preserve"> or</w:t>
      </w:r>
      <w:r w:rsidRPr="00433A93">
        <w:t xml:space="preserve"> purchased power</w:t>
      </w:r>
      <w:r w:rsidR="005D182C">
        <w:t>,</w:t>
      </w:r>
      <w:r w:rsidRPr="00433A93">
        <w:t xml:space="preserve"> that are more expensive due to the increased usage. </w:t>
      </w:r>
    </w:p>
    <w:p w14:paraId="65B6197C" w14:textId="04C42483" w:rsidR="00E42E2E" w:rsidRDefault="008539B3" w:rsidP="00F37F0D">
      <w:pPr>
        <w:spacing w:line="360" w:lineRule="auto"/>
        <w:ind w:firstLine="720"/>
      </w:pPr>
      <w:r>
        <w:t>As</w:t>
      </w:r>
      <w:r w:rsidR="00E42E2E">
        <w:t xml:space="preserve"> directed, Staff has </w:t>
      </w:r>
      <w:r w:rsidR="00480F85">
        <w:t>performed number running</w:t>
      </w:r>
      <w:r w:rsidR="00E42E2E">
        <w:t xml:space="preserve"> </w:t>
      </w:r>
      <w:r w:rsidR="00055CA7">
        <w:t>as suggested by the PFD</w:t>
      </w:r>
      <w:r w:rsidR="00914353">
        <w:t xml:space="preserve">, </w:t>
      </w:r>
      <w:r w:rsidR="00482D48">
        <w:t>though Staff notes</w:t>
      </w:r>
      <w:r w:rsidR="00914353">
        <w:t xml:space="preserve"> that it is </w:t>
      </w:r>
      <w:r w:rsidR="00482D48">
        <w:t>mathematically</w:t>
      </w:r>
      <w:r w:rsidR="00914353">
        <w:t xml:space="preserve"> </w:t>
      </w:r>
      <w:r w:rsidR="00482D48">
        <w:t>im</w:t>
      </w:r>
      <w:r w:rsidR="00914353">
        <w:t xml:space="preserve">possible to submit </w:t>
      </w:r>
      <w:r w:rsidR="0095483B">
        <w:t>“number running consistent with the [PFD</w:t>
      </w:r>
      <w:r w:rsidR="00482D48">
        <w:t>’</w:t>
      </w:r>
      <w:r w:rsidR="0095483B">
        <w:t>s] recommendations</w:t>
      </w:r>
      <w:r w:rsidR="00055CA7">
        <w:t>.</w:t>
      </w:r>
      <w:r w:rsidR="0095483B">
        <w:t>”</w:t>
      </w:r>
      <w:r w:rsidR="0095483B">
        <w:rPr>
          <w:rStyle w:val="FootnoteReference"/>
        </w:rPr>
        <w:footnoteReference w:id="5"/>
      </w:r>
      <w:r w:rsidR="00055CA7">
        <w:t xml:space="preserve"> Because there is a lack of clarity as to whether Staff should use</w:t>
      </w:r>
      <w:r w:rsidR="007F525E">
        <w:t xml:space="preserve">: (1) </w:t>
      </w:r>
      <w:r w:rsidR="00382006">
        <w:t>an</w:t>
      </w:r>
      <w:r w:rsidR="00055CA7">
        <w:t xml:space="preserve"> allocation factor</w:t>
      </w:r>
      <w:r w:rsidR="00382006">
        <w:t xml:space="preserve"> that is </w:t>
      </w:r>
      <w:r w:rsidR="00143FC4">
        <w:t xml:space="preserve">not </w:t>
      </w:r>
      <w:r w:rsidR="00382006">
        <w:t>consistent with the PFD</w:t>
      </w:r>
      <w:r w:rsidR="007F525E">
        <w:t xml:space="preserve"> </w:t>
      </w:r>
      <w:r w:rsidR="002B560A">
        <w:t>and</w:t>
      </w:r>
      <w:r w:rsidR="007F525E">
        <w:t xml:space="preserve"> the approved volumetric rates</w:t>
      </w:r>
      <w:r w:rsidR="002919D0">
        <w:t xml:space="preserve"> to calculate base rates</w:t>
      </w:r>
      <w:r w:rsidR="007F525E">
        <w:t>;</w:t>
      </w:r>
      <w:r w:rsidR="00055CA7">
        <w:t xml:space="preserve"> or</w:t>
      </w:r>
      <w:r w:rsidR="007F525E">
        <w:t xml:space="preserve"> (2) the </w:t>
      </w:r>
      <w:r w:rsidR="00143FC4">
        <w:t>approved</w:t>
      </w:r>
      <w:r w:rsidR="007F525E">
        <w:t xml:space="preserve"> allocation factor and</w:t>
      </w:r>
      <w:r w:rsidR="00BA7A71">
        <w:t xml:space="preserve"> </w:t>
      </w:r>
      <w:r w:rsidR="00055CA7">
        <w:t>volumetric rates</w:t>
      </w:r>
      <w:r w:rsidR="000A7E9E">
        <w:t xml:space="preserve"> that are not consistent with the PFD</w:t>
      </w:r>
      <w:r w:rsidR="00DD310A">
        <w:t xml:space="preserve"> to calculate base rates</w:t>
      </w:r>
      <w:r w:rsidR="00055CA7">
        <w:t xml:space="preserve">, Staff has provided both </w:t>
      </w:r>
      <w:r w:rsidR="002919D0">
        <w:t>options for the Commission’s review.</w:t>
      </w:r>
      <w:r w:rsidR="002B560A">
        <w:t xml:space="preserve"> </w:t>
      </w:r>
      <w:r w:rsidR="009A0AEC">
        <w:t xml:space="preserve">In </w:t>
      </w:r>
      <w:r w:rsidR="00473095">
        <w:t>closing</w:t>
      </w:r>
      <w:r w:rsidR="009A0AEC">
        <w:t xml:space="preserve">, Staff once again cautions against the piecemeal approach </w:t>
      </w:r>
      <w:r w:rsidR="00473095">
        <w:t>that the PFD adopts and reiterates that it does not support either of the attached rate designs.</w:t>
      </w:r>
    </w:p>
    <w:p w14:paraId="79CD82C9" w14:textId="77777777" w:rsidR="00FA0496" w:rsidRPr="00F37F0D" w:rsidRDefault="00FA0496" w:rsidP="00F37F0D">
      <w:pPr>
        <w:spacing w:line="360" w:lineRule="auto"/>
        <w:ind w:firstLine="720"/>
      </w:pPr>
    </w:p>
    <w:p w14:paraId="1CE58B6A" w14:textId="12D7B620" w:rsidR="008549CC" w:rsidRPr="00EA05D4" w:rsidRDefault="008549CC" w:rsidP="008549CC">
      <w:pPr>
        <w:keepNext/>
        <w:rPr>
          <w:szCs w:val="24"/>
        </w:rPr>
      </w:pPr>
      <w:r w:rsidRPr="00EA05D4">
        <w:rPr>
          <w:szCs w:val="24"/>
        </w:rPr>
        <w:t xml:space="preserve">Dated: </w:t>
      </w:r>
      <w:r w:rsidRPr="00EA05D4">
        <w:rPr>
          <w:szCs w:val="24"/>
        </w:rPr>
        <w:fldChar w:fldCharType="begin"/>
      </w:r>
      <w:r w:rsidRPr="00EA05D4">
        <w:rPr>
          <w:szCs w:val="24"/>
        </w:rPr>
        <w:instrText xml:space="preserve"> DATE \@ "MMMM d, yyyy" </w:instrText>
      </w:r>
      <w:r w:rsidRPr="00EA05D4">
        <w:rPr>
          <w:szCs w:val="24"/>
        </w:rPr>
        <w:fldChar w:fldCharType="separate"/>
      </w:r>
      <w:r w:rsidR="00552D16">
        <w:rPr>
          <w:noProof/>
          <w:szCs w:val="24"/>
        </w:rPr>
        <w:t>August 30, 2023</w:t>
      </w:r>
      <w:r w:rsidRPr="00EA05D4">
        <w:rPr>
          <w:szCs w:val="24"/>
        </w:rPr>
        <w:fldChar w:fldCharType="end"/>
      </w:r>
    </w:p>
    <w:p w14:paraId="2D222B2A" w14:textId="77777777" w:rsidR="008549CC" w:rsidRPr="00EA05D4" w:rsidRDefault="008549CC" w:rsidP="008549CC">
      <w:pPr>
        <w:keepNext/>
        <w:rPr>
          <w:szCs w:val="24"/>
        </w:rPr>
      </w:pPr>
    </w:p>
    <w:p w14:paraId="12DEB2F1" w14:textId="77777777" w:rsidR="008549CC" w:rsidRPr="00EA05D4" w:rsidRDefault="008549CC" w:rsidP="008549CC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EA05D4">
        <w:rPr>
          <w:szCs w:val="24"/>
        </w:rPr>
        <w:t>Respectfully submitted,</w:t>
      </w:r>
    </w:p>
    <w:p w14:paraId="04838260" w14:textId="77777777" w:rsidR="008549CC" w:rsidRPr="00EA05D4" w:rsidRDefault="008549CC" w:rsidP="008549CC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42D408A" w14:textId="77777777" w:rsidR="008549CC" w:rsidRPr="00EA05D4" w:rsidRDefault="008549CC" w:rsidP="008549CC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EA05D4">
        <w:rPr>
          <w:b/>
          <w:szCs w:val="24"/>
        </w:rPr>
        <w:t>PUBLIC UTILITY COMMISSION OF TEXAS</w:t>
      </w:r>
    </w:p>
    <w:p w14:paraId="1711D9A8" w14:textId="77777777" w:rsidR="008549CC" w:rsidRPr="00EA05D4" w:rsidRDefault="008549CC" w:rsidP="008549CC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EA05D4">
        <w:rPr>
          <w:b/>
          <w:szCs w:val="24"/>
        </w:rPr>
        <w:t>LEGAL DIVISION</w:t>
      </w:r>
    </w:p>
    <w:p w14:paraId="22D7CE9C" w14:textId="77777777" w:rsidR="008549CC" w:rsidRPr="00EA05D4" w:rsidRDefault="008549CC" w:rsidP="008549CC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4C1E0293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Marisa Wagley</w:t>
      </w:r>
    </w:p>
    <w:p w14:paraId="36559B51" w14:textId="77777777" w:rsidR="008549CC" w:rsidRDefault="008549CC" w:rsidP="008549CC">
      <w:pPr>
        <w:keepNext/>
        <w:ind w:firstLine="4320"/>
        <w:jc w:val="left"/>
        <w:rPr>
          <w:szCs w:val="24"/>
        </w:rPr>
      </w:pPr>
      <w:r w:rsidRPr="00EA05D4">
        <w:rPr>
          <w:szCs w:val="24"/>
        </w:rPr>
        <w:t>Division Director</w:t>
      </w:r>
    </w:p>
    <w:p w14:paraId="0D344B12" w14:textId="77777777" w:rsidR="008549CC" w:rsidRDefault="008549CC" w:rsidP="008549CC">
      <w:pPr>
        <w:keepNext/>
        <w:ind w:firstLine="4320"/>
        <w:jc w:val="left"/>
        <w:rPr>
          <w:szCs w:val="24"/>
        </w:rPr>
      </w:pPr>
    </w:p>
    <w:p w14:paraId="2A30A072" w14:textId="77777777" w:rsidR="008549CC" w:rsidRDefault="008549CC" w:rsidP="008549CC">
      <w:pPr>
        <w:keepNext/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26880404" w14:textId="77777777" w:rsidR="008549CC" w:rsidRPr="00EA05D4" w:rsidRDefault="008549CC" w:rsidP="008549CC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  <w:r w:rsidRPr="00EA05D4">
        <w:rPr>
          <w:szCs w:val="24"/>
        </w:rPr>
        <w:t xml:space="preserve"> </w:t>
      </w:r>
    </w:p>
    <w:p w14:paraId="4B0ED5AF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3287850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  <w:u w:val="single"/>
        </w:rPr>
        <w:t>/s/ Merritt Lander</w:t>
      </w:r>
      <w:r w:rsidRPr="00EA05D4">
        <w:rPr>
          <w:szCs w:val="24"/>
        </w:rPr>
        <w:t>____________</w:t>
      </w:r>
    </w:p>
    <w:p w14:paraId="129C5175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Merritt Lander</w:t>
      </w:r>
    </w:p>
    <w:p w14:paraId="11EDB86B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State Bar No. 24106183</w:t>
      </w:r>
    </w:p>
    <w:p w14:paraId="67C89C36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1701 N. Congress Avenue</w:t>
      </w:r>
    </w:p>
    <w:p w14:paraId="161DBE6D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P.O. Box 13326</w:t>
      </w:r>
    </w:p>
    <w:p w14:paraId="0E1F2A47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Austin, Texas 78711-3326</w:t>
      </w:r>
    </w:p>
    <w:p w14:paraId="5CA58EA1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(512) 936-7290</w:t>
      </w:r>
    </w:p>
    <w:p w14:paraId="565D901A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(512) 936-7268 (facsimile)</w:t>
      </w:r>
    </w:p>
    <w:p w14:paraId="05D61EDA" w14:textId="63AE1D4C" w:rsidR="008549CC" w:rsidRPr="00EA05D4" w:rsidRDefault="008549CC" w:rsidP="00C314B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EA05D4">
        <w:rPr>
          <w:szCs w:val="24"/>
        </w:rPr>
        <w:t>Merritt.Lander@puc.texas.gov</w:t>
      </w:r>
    </w:p>
    <w:p w14:paraId="19AF1A0A" w14:textId="792A492C" w:rsidR="00126A27" w:rsidRDefault="00126A27"/>
    <w:p w14:paraId="66462294" w14:textId="0409B78A" w:rsidR="003429DE" w:rsidRDefault="003429DE"/>
    <w:p w14:paraId="612A44ED" w14:textId="77777777" w:rsidR="00D43A1B" w:rsidRPr="00EA05D4" w:rsidRDefault="00D43A1B" w:rsidP="00D43A1B">
      <w:pPr>
        <w:pStyle w:val="Docketnumber"/>
        <w:keepNext/>
        <w:rPr>
          <w:sz w:val="24"/>
          <w:szCs w:val="24"/>
        </w:rPr>
      </w:pPr>
      <w:r w:rsidRPr="00EA05D4">
        <w:rPr>
          <w:sz w:val="24"/>
          <w:szCs w:val="24"/>
        </w:rPr>
        <w:lastRenderedPageBreak/>
        <w:t>SOAH DOCKET NO. 473-20-4071.ws</w:t>
      </w:r>
    </w:p>
    <w:p w14:paraId="119E665D" w14:textId="77777777" w:rsidR="0010372D" w:rsidRPr="003634C0" w:rsidRDefault="0010372D" w:rsidP="00D43A1B">
      <w:pPr>
        <w:pStyle w:val="Docketnumber"/>
        <w:keepNext/>
        <w:rPr>
          <w:sz w:val="24"/>
        </w:rPr>
      </w:pPr>
      <w:r w:rsidRPr="003634C0">
        <w:rPr>
          <w:sz w:val="24"/>
        </w:rPr>
        <w:t>PUC DOCKET NO. 50788</w:t>
      </w:r>
    </w:p>
    <w:p w14:paraId="541E5B41" w14:textId="77777777" w:rsidR="0010372D" w:rsidRPr="003634C0" w:rsidRDefault="0010372D" w:rsidP="00D43A1B">
      <w:pPr>
        <w:pStyle w:val="Docketnumber"/>
        <w:keepNext/>
        <w:rPr>
          <w:sz w:val="24"/>
        </w:rPr>
      </w:pPr>
    </w:p>
    <w:p w14:paraId="2B9FB43E" w14:textId="4B1DE45A" w:rsidR="0010372D" w:rsidRDefault="0010372D" w:rsidP="0010372D">
      <w:pPr>
        <w:pStyle w:val="Paragraph"/>
        <w:keepNext/>
        <w:keepLines/>
        <w:spacing w:line="360" w:lineRule="auto"/>
      </w:pPr>
      <w:r w:rsidRPr="00893EAC">
        <w:t>I certify that unless otherwise ordered by the presiding officer, notice of the filing of this document was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552D16">
        <w:rPr>
          <w:noProof/>
        </w:rPr>
        <w:t>August 30, 2023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28D26A05" w14:textId="77777777" w:rsidR="0010372D" w:rsidRPr="008647EB" w:rsidRDefault="0010372D" w:rsidP="0010372D">
      <w:pPr>
        <w:pStyle w:val="Paragraph"/>
        <w:keepNext/>
        <w:keepLines/>
      </w:pPr>
    </w:p>
    <w:p w14:paraId="2B39FDD6" w14:textId="77777777" w:rsidR="0010372D" w:rsidRPr="007F6DF0" w:rsidRDefault="0010372D" w:rsidP="0010372D">
      <w:pPr>
        <w:keepNext/>
        <w:ind w:left="4320"/>
        <w:rPr>
          <w:u w:val="single"/>
        </w:rPr>
      </w:pPr>
      <w:r w:rsidRPr="007F6DF0">
        <w:rPr>
          <w:u w:val="single"/>
        </w:rPr>
        <w:t xml:space="preserve">  /s/ Merritt Lander</w:t>
      </w:r>
      <w:r w:rsidRPr="007F6DF0">
        <w:rPr>
          <w:u w:val="single"/>
        </w:rPr>
        <w:tab/>
      </w:r>
      <w:r w:rsidRPr="007F6DF0">
        <w:rPr>
          <w:u w:val="single"/>
        </w:rPr>
        <w:tab/>
      </w:r>
    </w:p>
    <w:p w14:paraId="6ACBC12C" w14:textId="77777777" w:rsidR="0010372D" w:rsidRPr="007F6DF0" w:rsidRDefault="0010372D" w:rsidP="0010372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7F6DF0">
        <w:t>Merritt Lander</w:t>
      </w:r>
    </w:p>
    <w:p w14:paraId="03D2DCD6" w14:textId="77777777" w:rsidR="0010372D" w:rsidRDefault="0010372D"/>
    <w:sectPr w:rsidR="0010372D" w:rsidSect="00C314BD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A1B0C" w14:textId="77777777" w:rsidR="00C462C5" w:rsidRDefault="00C462C5" w:rsidP="008549CC">
      <w:r>
        <w:separator/>
      </w:r>
    </w:p>
  </w:endnote>
  <w:endnote w:type="continuationSeparator" w:id="0">
    <w:p w14:paraId="37FD4622" w14:textId="77777777" w:rsidR="00C462C5" w:rsidRDefault="00C462C5" w:rsidP="008549CC">
      <w:r>
        <w:continuationSeparator/>
      </w:r>
    </w:p>
  </w:endnote>
  <w:endnote w:type="continuationNotice" w:id="1">
    <w:p w14:paraId="4354B469" w14:textId="77777777" w:rsidR="00C462C5" w:rsidRDefault="00C46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pitch w:val="default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84D59" w14:textId="77777777" w:rsidR="00C462C5" w:rsidRDefault="00C462C5" w:rsidP="008549CC">
      <w:r>
        <w:separator/>
      </w:r>
    </w:p>
  </w:footnote>
  <w:footnote w:type="continuationSeparator" w:id="0">
    <w:p w14:paraId="296C6BD1" w14:textId="77777777" w:rsidR="00C462C5" w:rsidRDefault="00C462C5" w:rsidP="008549CC">
      <w:r>
        <w:continuationSeparator/>
      </w:r>
    </w:p>
  </w:footnote>
  <w:footnote w:type="continuationNotice" w:id="1">
    <w:p w14:paraId="69EE49F7" w14:textId="77777777" w:rsidR="00C462C5" w:rsidRDefault="00C462C5"/>
  </w:footnote>
  <w:footnote w:id="2">
    <w:p w14:paraId="150B6790" w14:textId="0827E564" w:rsidR="002A6D4C" w:rsidRPr="00ED7327" w:rsidRDefault="002A6D4C" w:rsidP="00CE5924">
      <w:pPr>
        <w:pStyle w:val="FootnoteText"/>
        <w:spacing w:after="120"/>
        <w:ind w:firstLine="360"/>
      </w:pPr>
      <w:r>
        <w:rPr>
          <w:rStyle w:val="FootnoteReference"/>
        </w:rPr>
        <w:footnoteRef/>
      </w:r>
      <w:r>
        <w:t xml:space="preserve">  </w:t>
      </w:r>
      <w:r w:rsidR="00D51DB2">
        <w:rPr>
          <w:i/>
          <w:iCs/>
        </w:rPr>
        <w:t xml:space="preserve">See </w:t>
      </w:r>
      <w:r>
        <w:t>PFD</w:t>
      </w:r>
      <w:r w:rsidR="00FF17F0">
        <w:t xml:space="preserve"> </w:t>
      </w:r>
      <w:r w:rsidR="00707BDE">
        <w:t xml:space="preserve">at </w:t>
      </w:r>
      <w:r w:rsidR="003F051D">
        <w:t>53</w:t>
      </w:r>
      <w:r w:rsidR="00D51DB2">
        <w:t xml:space="preserve"> (stating that </w:t>
      </w:r>
      <w:r w:rsidR="00E96646">
        <w:t xml:space="preserve">Windermere’s fixed versus variable allocation was reasonable and that Windermere </w:t>
      </w:r>
      <w:r w:rsidR="00C478A7">
        <w:t>should continue collecting rates</w:t>
      </w:r>
      <w:r w:rsidR="00354F18">
        <w:t xml:space="preserve"> in accordance with the rate </w:t>
      </w:r>
      <w:r w:rsidR="00F05931">
        <w:t>design effective March 2020)</w:t>
      </w:r>
      <w:r w:rsidR="00ED7327">
        <w:t xml:space="preserve">; </w:t>
      </w:r>
      <w:r w:rsidR="00ED7327">
        <w:rPr>
          <w:i/>
          <w:iCs/>
        </w:rPr>
        <w:t>see</w:t>
      </w:r>
      <w:r w:rsidR="00ED7327">
        <w:t xml:space="preserve"> PFD at 5, stating that Windermere’s volumetric </w:t>
      </w:r>
      <w:r w:rsidR="008172C3">
        <w:t xml:space="preserve">charge </w:t>
      </w:r>
      <w:r w:rsidR="00023591">
        <w:t>is not part of this appeal</w:t>
      </w:r>
      <w:r w:rsidR="008172C3">
        <w:t xml:space="preserve">. </w:t>
      </w:r>
    </w:p>
  </w:footnote>
  <w:footnote w:id="3">
    <w:p w14:paraId="3C194AA5" w14:textId="7AE3D75C" w:rsidR="009D683E" w:rsidRDefault="009D683E" w:rsidP="00442181">
      <w:pPr>
        <w:pStyle w:val="FootnoteText"/>
        <w:spacing w:after="120"/>
        <w:ind w:firstLine="360"/>
      </w:pPr>
      <w:r>
        <w:rPr>
          <w:rStyle w:val="FootnoteReference"/>
        </w:rPr>
        <w:footnoteRef/>
      </w:r>
      <w:r>
        <w:t xml:space="preserve">  The calculations supporting the rates noted below are provided in the attachment to this filing.</w:t>
      </w:r>
    </w:p>
  </w:footnote>
  <w:footnote w:id="4">
    <w:p w14:paraId="3376DC6D" w14:textId="6B0DFE02" w:rsidR="6CFC8A1D" w:rsidRDefault="6CFC8A1D" w:rsidP="00442181">
      <w:pPr>
        <w:pStyle w:val="FootnoteText"/>
        <w:spacing w:after="120"/>
        <w:ind w:firstLine="360"/>
      </w:pPr>
      <w:r>
        <w:footnoteRef/>
      </w:r>
      <w:r>
        <w:t xml:space="preserve">  </w:t>
      </w:r>
      <w:r w:rsidRPr="6CFC8A1D">
        <w:rPr>
          <w:i/>
          <w:iCs/>
        </w:rPr>
        <w:t>Ratepayers Appeal of the Decision by Bear Creek Special Utility District to Change Rates</w:t>
      </w:r>
      <w:r w:rsidRPr="6CFC8A1D">
        <w:t>, Docket No. 49351,</w:t>
      </w:r>
      <w:r w:rsidRPr="6CFC8A1D">
        <w:rPr>
          <w:i/>
          <w:iCs/>
        </w:rPr>
        <w:t xml:space="preserve"> </w:t>
      </w:r>
      <w:r>
        <w:t>Order on Rehearing at 4 (Nov. 19, 2021).</w:t>
      </w:r>
    </w:p>
  </w:footnote>
  <w:footnote w:id="5">
    <w:p w14:paraId="71D327FE" w14:textId="25B02CAF" w:rsidR="0095483B" w:rsidRDefault="0095483B" w:rsidP="00442181">
      <w:pPr>
        <w:pStyle w:val="FootnoteText"/>
        <w:spacing w:after="120"/>
        <w:ind w:firstLine="360"/>
      </w:pPr>
      <w:r>
        <w:rPr>
          <w:rStyle w:val="FootnoteReference"/>
        </w:rPr>
        <w:footnoteRef/>
      </w:r>
      <w:r>
        <w:t xml:space="preserve">  </w:t>
      </w:r>
      <w:r w:rsidR="008539B3">
        <w:t>PFD at 57.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Content>
      <w:p w14:paraId="2AF4F247" w14:textId="655D87F1" w:rsidR="00025A18" w:rsidRPr="00E934EE" w:rsidRDefault="00760B87">
        <w:pPr>
          <w:pStyle w:val="Header"/>
          <w:jc w:val="right"/>
          <w:rPr>
            <w:b/>
            <w:bCs/>
            <w:sz w:val="20"/>
          </w:rPr>
        </w:pPr>
        <w:r w:rsidRPr="00760B87">
          <w:rPr>
            <w:b/>
            <w:bCs/>
            <w:sz w:val="20"/>
          </w:rPr>
          <w:t xml:space="preserve">Page </w:t>
        </w:r>
        <w:r w:rsidR="008A2A8A" w:rsidRPr="00E934EE">
          <w:rPr>
            <w:b/>
            <w:bCs/>
            <w:sz w:val="20"/>
          </w:rPr>
          <w:fldChar w:fldCharType="begin"/>
        </w:r>
        <w:r w:rsidR="008A2A8A" w:rsidRPr="00E934EE">
          <w:rPr>
            <w:b/>
            <w:bCs/>
            <w:sz w:val="20"/>
          </w:rPr>
          <w:instrText xml:space="preserve"> PAGE </w:instrText>
        </w:r>
        <w:r w:rsidR="008A2A8A" w:rsidRPr="00E934EE">
          <w:rPr>
            <w:b/>
            <w:bCs/>
            <w:sz w:val="20"/>
          </w:rPr>
          <w:fldChar w:fldCharType="separate"/>
        </w:r>
        <w:r w:rsidR="008A2A8A" w:rsidRPr="00E934EE">
          <w:rPr>
            <w:b/>
            <w:bCs/>
            <w:noProof/>
            <w:sz w:val="20"/>
          </w:rPr>
          <w:t>2</w:t>
        </w:r>
        <w:r w:rsidR="008A2A8A" w:rsidRPr="00E934EE">
          <w:rPr>
            <w:b/>
            <w:bCs/>
            <w:sz w:val="20"/>
          </w:rPr>
          <w:fldChar w:fldCharType="end"/>
        </w:r>
        <w:r w:rsidRPr="00760B87">
          <w:rPr>
            <w:b/>
            <w:bCs/>
            <w:sz w:val="20"/>
          </w:rPr>
          <w:t xml:space="preserve"> of </w:t>
        </w:r>
        <w:r w:rsidRPr="00760B87">
          <w:rPr>
            <w:b/>
            <w:bCs/>
            <w:sz w:val="20"/>
          </w:rPr>
          <w:fldChar w:fldCharType="begin"/>
        </w:r>
        <w:r w:rsidRPr="00760B87">
          <w:rPr>
            <w:b/>
            <w:bCs/>
            <w:sz w:val="20"/>
          </w:rPr>
          <w:instrText xml:space="preserve"> NUMPAGES  </w:instrText>
        </w:r>
        <w:r w:rsidRPr="00760B87">
          <w:rPr>
            <w:b/>
            <w:bCs/>
            <w:sz w:val="20"/>
          </w:rPr>
          <w:fldChar w:fldCharType="separate"/>
        </w:r>
        <w:r w:rsidRPr="00760B87">
          <w:rPr>
            <w:b/>
            <w:bCs/>
            <w:noProof/>
            <w:sz w:val="20"/>
          </w:rPr>
          <w:t>2</w:t>
        </w:r>
        <w:r w:rsidRPr="00760B87">
          <w:rPr>
            <w:b/>
            <w:bCs/>
            <w:sz w:val="20"/>
          </w:rPr>
          <w:fldChar w:fldCharType="end"/>
        </w:r>
      </w:p>
    </w:sdtContent>
  </w:sdt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QmFE9N7cHCFU8K" int2:id="QjwHsZlb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49F7"/>
    <w:multiLevelType w:val="multilevel"/>
    <w:tmpl w:val="A490969A"/>
    <w:styleLink w:val="CurrentList5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4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b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E72EA3"/>
    <w:multiLevelType w:val="multilevel"/>
    <w:tmpl w:val="23AA7ADE"/>
    <w:styleLink w:val="CurrentList3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4.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2685C1C"/>
    <w:multiLevelType w:val="multilevel"/>
    <w:tmpl w:val="0409001D"/>
    <w:styleLink w:val="Style3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Letter"/>
      <w:lvlText w:val="(%4)"/>
      <w:lvlJc w:val="left"/>
      <w:pPr>
        <w:ind w:left="1440" w:hanging="360"/>
      </w:pPr>
    </w:lvl>
    <w:lvl w:ilvl="4">
      <w:start w:val="1"/>
      <w:numFmt w:val="lowerRoman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5F467A"/>
    <w:multiLevelType w:val="hybridMultilevel"/>
    <w:tmpl w:val="D89EC1F6"/>
    <w:lvl w:ilvl="0" w:tplc="4D3C46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3472305"/>
    <w:multiLevelType w:val="multilevel"/>
    <w:tmpl w:val="E91EA650"/>
    <w:styleLink w:val="CurrentList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3D84CDD"/>
    <w:multiLevelType w:val="hybridMultilevel"/>
    <w:tmpl w:val="6CA6BEB8"/>
    <w:lvl w:ilvl="0" w:tplc="63B0CD4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505F9"/>
    <w:multiLevelType w:val="hybridMultilevel"/>
    <w:tmpl w:val="459A8F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D84962"/>
    <w:multiLevelType w:val="hybridMultilevel"/>
    <w:tmpl w:val="07A251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BF6C18"/>
    <w:multiLevelType w:val="hybridMultilevel"/>
    <w:tmpl w:val="E01E6644"/>
    <w:lvl w:ilvl="0" w:tplc="BAB43F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0A127DB"/>
    <w:multiLevelType w:val="multilevel"/>
    <w:tmpl w:val="11147144"/>
    <w:styleLink w:val="CurrentList6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4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b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140727E"/>
    <w:multiLevelType w:val="hybridMultilevel"/>
    <w:tmpl w:val="99EED1A4"/>
    <w:lvl w:ilvl="0" w:tplc="BB228D5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A1CD9"/>
    <w:multiLevelType w:val="hybridMultilevel"/>
    <w:tmpl w:val="6FD8191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9CC4F32"/>
    <w:multiLevelType w:val="hybridMultilevel"/>
    <w:tmpl w:val="9990CC14"/>
    <w:lvl w:ilvl="0" w:tplc="E018B7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67D822C4"/>
    <w:multiLevelType w:val="multilevel"/>
    <w:tmpl w:val="767E29CA"/>
    <w:lvl w:ilvl="0">
      <w:start w:val="1"/>
      <w:numFmt w:val="upperRoman"/>
      <w:pStyle w:val="Style2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24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20" w15:restartNumberingAfterBreak="0">
    <w:nsid w:val="77913B80"/>
    <w:multiLevelType w:val="multilevel"/>
    <w:tmpl w:val="B616E2BE"/>
    <w:styleLink w:val="CurrentList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4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ADE6A07"/>
    <w:multiLevelType w:val="multilevel"/>
    <w:tmpl w:val="69346554"/>
    <w:styleLink w:val="CurrentList1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7E5263A6"/>
    <w:multiLevelType w:val="multilevel"/>
    <w:tmpl w:val="5634993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1440"/>
      </w:pPr>
      <w:rPr>
        <w:rFonts w:hint="default"/>
      </w:rPr>
    </w:lvl>
    <w:lvl w:ilvl="2">
      <w:start w:val="1"/>
      <w:numFmt w:val="none"/>
      <w:lvlText w:val="4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b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FD73F37"/>
    <w:multiLevelType w:val="multilevel"/>
    <w:tmpl w:val="9D80DAB4"/>
    <w:lvl w:ilvl="0">
      <w:start w:val="1"/>
      <w:numFmt w:val="none"/>
      <w:lvlText w:val="VI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1440"/>
      </w:pPr>
      <w:rPr>
        <w:rFonts w:hint="default"/>
      </w:rPr>
    </w:lvl>
    <w:lvl w:ilvl="2">
      <w:start w:val="1"/>
      <w:numFmt w:val="none"/>
      <w:lvlText w:val="4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b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2478456">
    <w:abstractNumId w:val="1"/>
  </w:num>
  <w:num w:numId="2" w16cid:durableId="1681080017">
    <w:abstractNumId w:val="24"/>
  </w:num>
  <w:num w:numId="3" w16cid:durableId="247202218">
    <w:abstractNumId w:val="11"/>
  </w:num>
  <w:num w:numId="4" w16cid:durableId="280696842">
    <w:abstractNumId w:val="5"/>
  </w:num>
  <w:num w:numId="5" w16cid:durableId="1629630644">
    <w:abstractNumId w:val="22"/>
  </w:num>
  <w:num w:numId="6" w16cid:durableId="806973955">
    <w:abstractNumId w:val="21"/>
  </w:num>
  <w:num w:numId="7" w16cid:durableId="974987459">
    <w:abstractNumId w:val="15"/>
  </w:num>
  <w:num w:numId="8" w16cid:durableId="73746830">
    <w:abstractNumId w:val="16"/>
  </w:num>
  <w:num w:numId="9" w16cid:durableId="451172862">
    <w:abstractNumId w:val="18"/>
  </w:num>
  <w:num w:numId="10" w16cid:durableId="757404128">
    <w:abstractNumId w:val="19"/>
  </w:num>
  <w:num w:numId="11" w16cid:durableId="1719430581">
    <w:abstractNumId w:val="8"/>
  </w:num>
  <w:num w:numId="12" w16cid:durableId="444885044">
    <w:abstractNumId w:val="3"/>
  </w:num>
  <w:num w:numId="13" w16cid:durableId="1354304462">
    <w:abstractNumId w:val="25"/>
  </w:num>
  <w:num w:numId="14" w16cid:durableId="167838883">
    <w:abstractNumId w:val="14"/>
  </w:num>
  <w:num w:numId="15" w16cid:durableId="215094980">
    <w:abstractNumId w:val="9"/>
  </w:num>
  <w:num w:numId="16" w16cid:durableId="156968085">
    <w:abstractNumId w:val="4"/>
  </w:num>
  <w:num w:numId="17" w16cid:durableId="1652758488">
    <w:abstractNumId w:val="23"/>
  </w:num>
  <w:num w:numId="18" w16cid:durableId="635180373">
    <w:abstractNumId w:val="6"/>
  </w:num>
  <w:num w:numId="19" w16cid:durableId="1470826797">
    <w:abstractNumId w:val="2"/>
  </w:num>
  <w:num w:numId="20" w16cid:durableId="1842351454">
    <w:abstractNumId w:val="20"/>
  </w:num>
  <w:num w:numId="21" w16cid:durableId="1063794356">
    <w:abstractNumId w:val="0"/>
  </w:num>
  <w:num w:numId="22" w16cid:durableId="885029355">
    <w:abstractNumId w:val="12"/>
  </w:num>
  <w:num w:numId="23" w16cid:durableId="1949045343">
    <w:abstractNumId w:val="26"/>
  </w:num>
  <w:num w:numId="24" w16cid:durableId="215628862">
    <w:abstractNumId w:val="10"/>
  </w:num>
  <w:num w:numId="25" w16cid:durableId="1974868327">
    <w:abstractNumId w:val="7"/>
  </w:num>
  <w:num w:numId="26" w16cid:durableId="928462637">
    <w:abstractNumId w:val="17"/>
  </w:num>
  <w:num w:numId="27" w16cid:durableId="16763735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36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9CC"/>
    <w:rsid w:val="00004FB7"/>
    <w:rsid w:val="00014BE1"/>
    <w:rsid w:val="00023591"/>
    <w:rsid w:val="00025A18"/>
    <w:rsid w:val="00027BC1"/>
    <w:rsid w:val="00035212"/>
    <w:rsid w:val="00037B0D"/>
    <w:rsid w:val="000468EB"/>
    <w:rsid w:val="00055CA7"/>
    <w:rsid w:val="000607B1"/>
    <w:rsid w:val="0006200B"/>
    <w:rsid w:val="0007079A"/>
    <w:rsid w:val="000738B1"/>
    <w:rsid w:val="00073AAC"/>
    <w:rsid w:val="0008386E"/>
    <w:rsid w:val="00091A41"/>
    <w:rsid w:val="00091B82"/>
    <w:rsid w:val="00097A56"/>
    <w:rsid w:val="000A27D1"/>
    <w:rsid w:val="000A7DD8"/>
    <w:rsid w:val="000A7E9E"/>
    <w:rsid w:val="000C602E"/>
    <w:rsid w:val="000D5FC1"/>
    <w:rsid w:val="000E35E8"/>
    <w:rsid w:val="000F65DD"/>
    <w:rsid w:val="0010372D"/>
    <w:rsid w:val="001075F4"/>
    <w:rsid w:val="00122C2F"/>
    <w:rsid w:val="0012653B"/>
    <w:rsid w:val="00126A27"/>
    <w:rsid w:val="00143FC4"/>
    <w:rsid w:val="00145FD3"/>
    <w:rsid w:val="0015536E"/>
    <w:rsid w:val="001853D1"/>
    <w:rsid w:val="001A2291"/>
    <w:rsid w:val="001B625B"/>
    <w:rsid w:val="001B6696"/>
    <w:rsid w:val="001E4D06"/>
    <w:rsid w:val="001E7B53"/>
    <w:rsid w:val="001F1F1C"/>
    <w:rsid w:val="00214B1D"/>
    <w:rsid w:val="002178BB"/>
    <w:rsid w:val="002215AD"/>
    <w:rsid w:val="00247AA3"/>
    <w:rsid w:val="002514E6"/>
    <w:rsid w:val="0026387D"/>
    <w:rsid w:val="00264BC4"/>
    <w:rsid w:val="002846C4"/>
    <w:rsid w:val="00286D68"/>
    <w:rsid w:val="00287E17"/>
    <w:rsid w:val="002919D0"/>
    <w:rsid w:val="002A6D4C"/>
    <w:rsid w:val="002A7841"/>
    <w:rsid w:val="002B2F66"/>
    <w:rsid w:val="002B332E"/>
    <w:rsid w:val="002B4BB8"/>
    <w:rsid w:val="002B560A"/>
    <w:rsid w:val="002B5BC0"/>
    <w:rsid w:val="002C57C5"/>
    <w:rsid w:val="003000A8"/>
    <w:rsid w:val="00321D2B"/>
    <w:rsid w:val="00337FC1"/>
    <w:rsid w:val="003429DE"/>
    <w:rsid w:val="00346AC3"/>
    <w:rsid w:val="00354F18"/>
    <w:rsid w:val="00356401"/>
    <w:rsid w:val="00366138"/>
    <w:rsid w:val="003717F7"/>
    <w:rsid w:val="00375647"/>
    <w:rsid w:val="00382006"/>
    <w:rsid w:val="003903A7"/>
    <w:rsid w:val="003913FA"/>
    <w:rsid w:val="003925AE"/>
    <w:rsid w:val="00394F91"/>
    <w:rsid w:val="003B0ADF"/>
    <w:rsid w:val="003C1344"/>
    <w:rsid w:val="003C4932"/>
    <w:rsid w:val="003C6E59"/>
    <w:rsid w:val="003C7523"/>
    <w:rsid w:val="003D6F93"/>
    <w:rsid w:val="003F051D"/>
    <w:rsid w:val="003F067A"/>
    <w:rsid w:val="003F17D0"/>
    <w:rsid w:val="00413240"/>
    <w:rsid w:val="00415029"/>
    <w:rsid w:val="00421AFE"/>
    <w:rsid w:val="00423156"/>
    <w:rsid w:val="00433A93"/>
    <w:rsid w:val="00442181"/>
    <w:rsid w:val="0045020D"/>
    <w:rsid w:val="00461C5F"/>
    <w:rsid w:val="00467319"/>
    <w:rsid w:val="00473095"/>
    <w:rsid w:val="004757EE"/>
    <w:rsid w:val="00480F85"/>
    <w:rsid w:val="00482D48"/>
    <w:rsid w:val="004A7A39"/>
    <w:rsid w:val="004B2F09"/>
    <w:rsid w:val="004C18F7"/>
    <w:rsid w:val="004C4148"/>
    <w:rsid w:val="004C4EC6"/>
    <w:rsid w:val="004E75EE"/>
    <w:rsid w:val="004F65A2"/>
    <w:rsid w:val="00501BEF"/>
    <w:rsid w:val="00501CF8"/>
    <w:rsid w:val="0050453B"/>
    <w:rsid w:val="00507909"/>
    <w:rsid w:val="00535E34"/>
    <w:rsid w:val="00536239"/>
    <w:rsid w:val="00544D95"/>
    <w:rsid w:val="00545DCB"/>
    <w:rsid w:val="00552D16"/>
    <w:rsid w:val="005679EC"/>
    <w:rsid w:val="005726E3"/>
    <w:rsid w:val="0058051E"/>
    <w:rsid w:val="00581352"/>
    <w:rsid w:val="00583234"/>
    <w:rsid w:val="00587180"/>
    <w:rsid w:val="005908CD"/>
    <w:rsid w:val="005915FE"/>
    <w:rsid w:val="005B4E32"/>
    <w:rsid w:val="005D182C"/>
    <w:rsid w:val="005E0AA4"/>
    <w:rsid w:val="005E1E60"/>
    <w:rsid w:val="005E6044"/>
    <w:rsid w:val="00604515"/>
    <w:rsid w:val="006056D4"/>
    <w:rsid w:val="006135E8"/>
    <w:rsid w:val="0062679B"/>
    <w:rsid w:val="0063518F"/>
    <w:rsid w:val="00643202"/>
    <w:rsid w:val="006439E3"/>
    <w:rsid w:val="00647924"/>
    <w:rsid w:val="0065396D"/>
    <w:rsid w:val="00677921"/>
    <w:rsid w:val="006807D4"/>
    <w:rsid w:val="006A0C95"/>
    <w:rsid w:val="006A0D74"/>
    <w:rsid w:val="006C0647"/>
    <w:rsid w:val="006D0438"/>
    <w:rsid w:val="006D1F76"/>
    <w:rsid w:val="006D3077"/>
    <w:rsid w:val="006E6270"/>
    <w:rsid w:val="006F756D"/>
    <w:rsid w:val="007023B0"/>
    <w:rsid w:val="00707BDE"/>
    <w:rsid w:val="00711472"/>
    <w:rsid w:val="00725742"/>
    <w:rsid w:val="00731563"/>
    <w:rsid w:val="007361D5"/>
    <w:rsid w:val="007432D3"/>
    <w:rsid w:val="0075232B"/>
    <w:rsid w:val="00760B87"/>
    <w:rsid w:val="007625B3"/>
    <w:rsid w:val="00765DB1"/>
    <w:rsid w:val="007758ED"/>
    <w:rsid w:val="007A5074"/>
    <w:rsid w:val="007B1C40"/>
    <w:rsid w:val="007B590C"/>
    <w:rsid w:val="007C4118"/>
    <w:rsid w:val="007C5DB3"/>
    <w:rsid w:val="007D0B64"/>
    <w:rsid w:val="007F525E"/>
    <w:rsid w:val="008100E4"/>
    <w:rsid w:val="00815D74"/>
    <w:rsid w:val="008172C3"/>
    <w:rsid w:val="0082455B"/>
    <w:rsid w:val="00844984"/>
    <w:rsid w:val="0085331B"/>
    <w:rsid w:val="008539B3"/>
    <w:rsid w:val="008549CC"/>
    <w:rsid w:val="00881823"/>
    <w:rsid w:val="00895612"/>
    <w:rsid w:val="008A2A8A"/>
    <w:rsid w:val="008D473C"/>
    <w:rsid w:val="008D6004"/>
    <w:rsid w:val="008E1CAA"/>
    <w:rsid w:val="008E5F49"/>
    <w:rsid w:val="008F52A2"/>
    <w:rsid w:val="00911845"/>
    <w:rsid w:val="00914353"/>
    <w:rsid w:val="00951C38"/>
    <w:rsid w:val="0095483B"/>
    <w:rsid w:val="00955129"/>
    <w:rsid w:val="00963251"/>
    <w:rsid w:val="00966ABB"/>
    <w:rsid w:val="009939BB"/>
    <w:rsid w:val="009A0AEC"/>
    <w:rsid w:val="009B505D"/>
    <w:rsid w:val="009D07B0"/>
    <w:rsid w:val="009D683E"/>
    <w:rsid w:val="009E35BE"/>
    <w:rsid w:val="00A0172C"/>
    <w:rsid w:val="00A03840"/>
    <w:rsid w:val="00A06662"/>
    <w:rsid w:val="00A11FDC"/>
    <w:rsid w:val="00A21F81"/>
    <w:rsid w:val="00A27E8A"/>
    <w:rsid w:val="00A31C26"/>
    <w:rsid w:val="00A50A75"/>
    <w:rsid w:val="00A519DB"/>
    <w:rsid w:val="00A52974"/>
    <w:rsid w:val="00A54BB7"/>
    <w:rsid w:val="00A56C56"/>
    <w:rsid w:val="00A6493A"/>
    <w:rsid w:val="00A64B3A"/>
    <w:rsid w:val="00A65388"/>
    <w:rsid w:val="00A67ADF"/>
    <w:rsid w:val="00A71B0F"/>
    <w:rsid w:val="00A7268B"/>
    <w:rsid w:val="00A74E72"/>
    <w:rsid w:val="00A75F5D"/>
    <w:rsid w:val="00A77816"/>
    <w:rsid w:val="00A8541E"/>
    <w:rsid w:val="00AA7EB6"/>
    <w:rsid w:val="00AD44BE"/>
    <w:rsid w:val="00B03834"/>
    <w:rsid w:val="00B06C7F"/>
    <w:rsid w:val="00B13283"/>
    <w:rsid w:val="00B30396"/>
    <w:rsid w:val="00B32072"/>
    <w:rsid w:val="00B62114"/>
    <w:rsid w:val="00B63974"/>
    <w:rsid w:val="00B64893"/>
    <w:rsid w:val="00B7417D"/>
    <w:rsid w:val="00B74A24"/>
    <w:rsid w:val="00B850A3"/>
    <w:rsid w:val="00B8681E"/>
    <w:rsid w:val="00B97EE6"/>
    <w:rsid w:val="00BA7A71"/>
    <w:rsid w:val="00BB7AE8"/>
    <w:rsid w:val="00BC42F1"/>
    <w:rsid w:val="00BC7A96"/>
    <w:rsid w:val="00BD2FB1"/>
    <w:rsid w:val="00BD30A1"/>
    <w:rsid w:val="00BD43E2"/>
    <w:rsid w:val="00BF0B7D"/>
    <w:rsid w:val="00C15981"/>
    <w:rsid w:val="00C17768"/>
    <w:rsid w:val="00C20F40"/>
    <w:rsid w:val="00C21C5B"/>
    <w:rsid w:val="00C25B6A"/>
    <w:rsid w:val="00C314BD"/>
    <w:rsid w:val="00C33689"/>
    <w:rsid w:val="00C33B51"/>
    <w:rsid w:val="00C4114A"/>
    <w:rsid w:val="00C462C5"/>
    <w:rsid w:val="00C478A7"/>
    <w:rsid w:val="00C70D97"/>
    <w:rsid w:val="00C8312A"/>
    <w:rsid w:val="00C8338E"/>
    <w:rsid w:val="00C923AA"/>
    <w:rsid w:val="00C935BA"/>
    <w:rsid w:val="00CB4967"/>
    <w:rsid w:val="00CE34B8"/>
    <w:rsid w:val="00CE5924"/>
    <w:rsid w:val="00CF63A9"/>
    <w:rsid w:val="00D2703C"/>
    <w:rsid w:val="00D43A1B"/>
    <w:rsid w:val="00D4552F"/>
    <w:rsid w:val="00D51DB2"/>
    <w:rsid w:val="00D51FAC"/>
    <w:rsid w:val="00D520A3"/>
    <w:rsid w:val="00D549BF"/>
    <w:rsid w:val="00D728DB"/>
    <w:rsid w:val="00D92DFB"/>
    <w:rsid w:val="00D95E70"/>
    <w:rsid w:val="00DB6BEC"/>
    <w:rsid w:val="00DD0A0F"/>
    <w:rsid w:val="00DD1DC3"/>
    <w:rsid w:val="00DD310A"/>
    <w:rsid w:val="00DE3182"/>
    <w:rsid w:val="00E01419"/>
    <w:rsid w:val="00E05541"/>
    <w:rsid w:val="00E2030A"/>
    <w:rsid w:val="00E209CF"/>
    <w:rsid w:val="00E33D76"/>
    <w:rsid w:val="00E42E2E"/>
    <w:rsid w:val="00E500C1"/>
    <w:rsid w:val="00E51050"/>
    <w:rsid w:val="00E55862"/>
    <w:rsid w:val="00E728DE"/>
    <w:rsid w:val="00E75648"/>
    <w:rsid w:val="00E867CF"/>
    <w:rsid w:val="00E89C01"/>
    <w:rsid w:val="00E91BF7"/>
    <w:rsid w:val="00E96646"/>
    <w:rsid w:val="00EB5734"/>
    <w:rsid w:val="00EC57DB"/>
    <w:rsid w:val="00ED7327"/>
    <w:rsid w:val="00F05931"/>
    <w:rsid w:val="00F220E9"/>
    <w:rsid w:val="00F2381B"/>
    <w:rsid w:val="00F37F0D"/>
    <w:rsid w:val="00F46935"/>
    <w:rsid w:val="00F550E9"/>
    <w:rsid w:val="00F67637"/>
    <w:rsid w:val="00F732AE"/>
    <w:rsid w:val="00F8420C"/>
    <w:rsid w:val="00F91695"/>
    <w:rsid w:val="00F972AF"/>
    <w:rsid w:val="00FA0496"/>
    <w:rsid w:val="00FA6CA7"/>
    <w:rsid w:val="00FB2999"/>
    <w:rsid w:val="00FC3A8C"/>
    <w:rsid w:val="00FD20EC"/>
    <w:rsid w:val="00FF17F0"/>
    <w:rsid w:val="00FF40AB"/>
    <w:rsid w:val="03B5AB84"/>
    <w:rsid w:val="05517BE5"/>
    <w:rsid w:val="097CDF9A"/>
    <w:rsid w:val="0A24ED08"/>
    <w:rsid w:val="0E2BC1D1"/>
    <w:rsid w:val="1237EC73"/>
    <w:rsid w:val="144CD6DB"/>
    <w:rsid w:val="14788036"/>
    <w:rsid w:val="154D2EC2"/>
    <w:rsid w:val="170B5D96"/>
    <w:rsid w:val="1908295A"/>
    <w:rsid w:val="19CEBDB6"/>
    <w:rsid w:val="1F342034"/>
    <w:rsid w:val="2364953F"/>
    <w:rsid w:val="2485BA5B"/>
    <w:rsid w:val="24BC8DAE"/>
    <w:rsid w:val="26585E0F"/>
    <w:rsid w:val="2704777F"/>
    <w:rsid w:val="2CCF8D19"/>
    <w:rsid w:val="2EBB5D0E"/>
    <w:rsid w:val="2ED94F38"/>
    <w:rsid w:val="3386A1A3"/>
    <w:rsid w:val="3994E7C4"/>
    <w:rsid w:val="427BA051"/>
    <w:rsid w:val="44908860"/>
    <w:rsid w:val="459FEB63"/>
    <w:rsid w:val="462C58C1"/>
    <w:rsid w:val="4A94C5DF"/>
    <w:rsid w:val="568BF1B4"/>
    <w:rsid w:val="5F583EBE"/>
    <w:rsid w:val="625FC9C8"/>
    <w:rsid w:val="64BC9D8D"/>
    <w:rsid w:val="65976A8A"/>
    <w:rsid w:val="66B1E212"/>
    <w:rsid w:val="67E335DF"/>
    <w:rsid w:val="686E0FE9"/>
    <w:rsid w:val="6CFC8A1D"/>
    <w:rsid w:val="6DF17C00"/>
    <w:rsid w:val="7845C079"/>
    <w:rsid w:val="7C2CE487"/>
    <w:rsid w:val="7EB4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BA30D"/>
  <w15:chartTrackingRefBased/>
  <w15:docId w15:val="{42851D87-A147-48EE-97A1-FAE9D350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9CC"/>
    <w:pPr>
      <w:jc w:val="both"/>
    </w:pPr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549CC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link w:val="Heading2Char"/>
    <w:qFormat/>
    <w:rsid w:val="008549CC"/>
    <w:pPr>
      <w:numPr>
        <w:ilvl w:val="1"/>
        <w:numId w:val="10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8549CC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8549CC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549CC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8549CC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8549CC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8549C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549C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9CC"/>
    <w:rPr>
      <w:rFonts w:ascii="Times New Roman" w:eastAsia="Times New Roman" w:hAnsi="Times New Roman" w:cs="Times New Roman"/>
      <w:b/>
      <w:caps/>
      <w:kern w:val="0"/>
      <w:sz w:val="28"/>
      <w:szCs w:val="20"/>
      <w:lang w:eastAsia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6Char">
    <w:name w:val="Heading 6 Char"/>
    <w:basedOn w:val="DefaultParagraphFont"/>
    <w:link w:val="Heading6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7Char">
    <w:name w:val="Heading 7 Char"/>
    <w:basedOn w:val="DefaultParagraphFont"/>
    <w:link w:val="Heading7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8Char">
    <w:name w:val="Heading 8 Char"/>
    <w:basedOn w:val="DefaultParagraphFont"/>
    <w:link w:val="Heading8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9Char">
    <w:name w:val="Heading 9 Char"/>
    <w:basedOn w:val="DefaultParagraphFont"/>
    <w:link w:val="Heading9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EquationCaption">
    <w:name w:val="_Equation Caption"/>
    <w:rsid w:val="008549CC"/>
  </w:style>
  <w:style w:type="paragraph" w:styleId="Caption">
    <w:name w:val="caption"/>
    <w:basedOn w:val="Normal"/>
    <w:next w:val="Normal"/>
    <w:qFormat/>
    <w:rsid w:val="008549CC"/>
  </w:style>
  <w:style w:type="paragraph" w:customStyle="1" w:styleId="Docketnumber">
    <w:name w:val="Docket number"/>
    <w:basedOn w:val="Normal"/>
    <w:link w:val="DocketnumberChar"/>
    <w:rsid w:val="008549CC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8549CC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8549CC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sid w:val="008549CC"/>
    <w:rPr>
      <w:vertAlign w:val="superscript"/>
    </w:rPr>
  </w:style>
  <w:style w:type="paragraph" w:customStyle="1" w:styleId="Filename">
    <w:name w:val="Filename"/>
    <w:basedOn w:val="Normal"/>
    <w:rsid w:val="008549CC"/>
    <w:rPr>
      <w:sz w:val="16"/>
    </w:rPr>
  </w:style>
  <w:style w:type="paragraph" w:styleId="Footer">
    <w:name w:val="footer"/>
    <w:basedOn w:val="Normal"/>
    <w:link w:val="FooterChar"/>
    <w:rsid w:val="008549CC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549CC"/>
    <w:rPr>
      <w:rFonts w:ascii="Times New Roman" w:eastAsia="Times New Roman" w:hAnsi="Times New Roman" w:cs="Times New Roman"/>
      <w:kern w:val="0"/>
      <w:sz w:val="16"/>
      <w:szCs w:val="20"/>
      <w:lang w:eastAsia="en-US"/>
      <w14:ligatures w14:val="none"/>
    </w:rPr>
  </w:style>
  <w:style w:type="paragraph" w:customStyle="1" w:styleId="Footnoteparagraph">
    <w:name w:val="Footnote paragraph"/>
    <w:basedOn w:val="FootnoteText"/>
    <w:rsid w:val="008549CC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sid w:val="008549CC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9CC"/>
    <w:rPr>
      <w:rFonts w:ascii="Times New Roman" w:eastAsia="Times New Roman" w:hAnsi="Times New Roman" w:cs="Times New Roman"/>
      <w:kern w:val="0"/>
      <w:sz w:val="20"/>
      <w:szCs w:val="20"/>
      <w:lang w:eastAsia="en-US"/>
      <w14:ligatures w14:val="none"/>
    </w:rPr>
  </w:style>
  <w:style w:type="paragraph" w:customStyle="1" w:styleId="Footnotequote">
    <w:name w:val="Footnote quote"/>
    <w:basedOn w:val="FootnoteText"/>
    <w:rsid w:val="008549CC"/>
    <w:pPr>
      <w:spacing w:line="180" w:lineRule="exact"/>
      <w:ind w:left="720" w:right="720"/>
    </w:pPr>
  </w:style>
  <w:style w:type="character" w:styleId="FootnoteReference">
    <w:name w:val="footnote reference"/>
    <w:aliases w:val="o,fr,Style 3,Style 21,Style 12,Style 11,Style 28,Style 8,Style 4,Style 17,o1,fr1,o2,fr2,o3,fr3,(NECG) Footnote Reference,Style 20,Style 7,Style 18,Style 19,Style 24,Style 15,Style 16,Style 29,Style 32,Style 9,o + Times New Roman"/>
    <w:qFormat/>
    <w:rsid w:val="008549CC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8549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CC"/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paragraph" w:customStyle="1" w:styleId="Indent1">
    <w:name w:val="Indent 1"/>
    <w:basedOn w:val="Normal"/>
    <w:rsid w:val="008549CC"/>
    <w:pPr>
      <w:ind w:left="720"/>
    </w:pPr>
  </w:style>
  <w:style w:type="paragraph" w:customStyle="1" w:styleId="Indent2">
    <w:name w:val="Indent 2"/>
    <w:basedOn w:val="Indent1"/>
    <w:rsid w:val="008549CC"/>
    <w:pPr>
      <w:ind w:left="1440"/>
    </w:pPr>
  </w:style>
  <w:style w:type="paragraph" w:customStyle="1" w:styleId="Indent3">
    <w:name w:val="Indent 3"/>
    <w:basedOn w:val="Indent2"/>
    <w:rsid w:val="008549CC"/>
    <w:pPr>
      <w:ind w:left="2160"/>
    </w:pPr>
  </w:style>
  <w:style w:type="paragraph" w:customStyle="1" w:styleId="Indent4">
    <w:name w:val="Indent 4"/>
    <w:basedOn w:val="Indent3"/>
    <w:rsid w:val="008549CC"/>
    <w:pPr>
      <w:ind w:left="2880"/>
    </w:pPr>
  </w:style>
  <w:style w:type="paragraph" w:customStyle="1" w:styleId="Indent5">
    <w:name w:val="Indent 5"/>
    <w:basedOn w:val="Indent4"/>
    <w:rsid w:val="008549CC"/>
    <w:pPr>
      <w:ind w:left="3600"/>
    </w:pPr>
  </w:style>
  <w:style w:type="paragraph" w:styleId="Index1">
    <w:name w:val="index 1"/>
    <w:basedOn w:val="Normal"/>
    <w:next w:val="Normal"/>
    <w:semiHidden/>
    <w:rsid w:val="008549CC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8549CC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8549CC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8549CC"/>
    <w:pPr>
      <w:spacing w:line="480" w:lineRule="auto"/>
    </w:pPr>
  </w:style>
  <w:style w:type="paragraph" w:styleId="NormalIndent">
    <w:name w:val="Normal Indent"/>
    <w:basedOn w:val="Normal"/>
    <w:rsid w:val="008549CC"/>
    <w:pPr>
      <w:ind w:left="720"/>
    </w:pPr>
  </w:style>
  <w:style w:type="character" w:styleId="PageNumber">
    <w:name w:val="page number"/>
    <w:basedOn w:val="DefaultParagraphFont"/>
    <w:rsid w:val="008549CC"/>
  </w:style>
  <w:style w:type="paragraph" w:customStyle="1" w:styleId="Paragraph">
    <w:name w:val="Paragraph"/>
    <w:basedOn w:val="Normal"/>
    <w:qFormat/>
    <w:rsid w:val="008549CC"/>
    <w:pPr>
      <w:ind w:firstLine="720"/>
    </w:pPr>
  </w:style>
  <w:style w:type="paragraph" w:customStyle="1" w:styleId="Paragraphdouble">
    <w:name w:val="Paragraph double"/>
    <w:basedOn w:val="Paragraph"/>
    <w:rsid w:val="008549CC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8549CC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8549CC"/>
    <w:pPr>
      <w:ind w:firstLine="720"/>
    </w:pPr>
  </w:style>
  <w:style w:type="paragraph" w:customStyle="1" w:styleId="RE">
    <w:name w:val="RE"/>
    <w:basedOn w:val="Normal"/>
    <w:rsid w:val="008549CC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8549CC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8549CC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8549CC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8549CC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rsid w:val="008549CC"/>
    <w:pPr>
      <w:keepNext w:val="0"/>
      <w:spacing w:before="360" w:after="0" w:line="240" w:lineRule="auto"/>
      <w:ind w:left="0" w:firstLine="0"/>
      <w:jc w:val="left"/>
      <w:outlineLvl w:val="9"/>
    </w:pPr>
    <w:rPr>
      <w:rFonts w:ascii="Times New Roman Bold" w:hAnsi="Times New Roman Bold" w:cs="Arial"/>
      <w:bCs/>
      <w:sz w:val="24"/>
      <w:szCs w:val="24"/>
    </w:rPr>
  </w:style>
  <w:style w:type="paragraph" w:styleId="TOC2">
    <w:name w:val="toc 2"/>
    <w:basedOn w:val="TOC1"/>
    <w:next w:val="Normal"/>
    <w:uiPriority w:val="39"/>
    <w:rsid w:val="008549CC"/>
    <w:pPr>
      <w:spacing w:before="240"/>
    </w:pPr>
    <w:rPr>
      <w:rFonts w:cs="Times New Roman"/>
      <w:caps w:val="0"/>
      <w:szCs w:val="20"/>
    </w:rPr>
  </w:style>
  <w:style w:type="paragraph" w:styleId="TOC3">
    <w:name w:val="toc 3"/>
    <w:basedOn w:val="TOC2"/>
    <w:next w:val="Normal"/>
    <w:uiPriority w:val="39"/>
    <w:rsid w:val="008549CC"/>
    <w:pPr>
      <w:spacing w:before="0"/>
      <w:ind w:left="240"/>
    </w:pPr>
    <w:rPr>
      <w:bCs w:val="0"/>
    </w:rPr>
  </w:style>
  <w:style w:type="paragraph" w:styleId="TOC4">
    <w:name w:val="toc 4"/>
    <w:basedOn w:val="TOC3"/>
    <w:next w:val="Normal"/>
    <w:semiHidden/>
    <w:rsid w:val="008549CC"/>
    <w:pPr>
      <w:ind w:left="480"/>
    </w:pPr>
  </w:style>
  <w:style w:type="paragraph" w:styleId="TOC5">
    <w:name w:val="toc 5"/>
    <w:basedOn w:val="TOC4"/>
    <w:next w:val="Normal"/>
    <w:semiHidden/>
    <w:rsid w:val="008549CC"/>
    <w:pPr>
      <w:ind w:left="720"/>
    </w:pPr>
  </w:style>
  <w:style w:type="paragraph" w:styleId="TOC6">
    <w:name w:val="toc 6"/>
    <w:basedOn w:val="TOC5"/>
    <w:next w:val="Normal"/>
    <w:semiHidden/>
    <w:rsid w:val="008549CC"/>
    <w:pPr>
      <w:ind w:left="960"/>
    </w:pPr>
  </w:style>
  <w:style w:type="paragraph" w:styleId="TOC7">
    <w:name w:val="toc 7"/>
    <w:basedOn w:val="TOC6"/>
    <w:next w:val="Normal"/>
    <w:semiHidden/>
    <w:rsid w:val="008549CC"/>
    <w:pPr>
      <w:ind w:left="1200"/>
    </w:pPr>
  </w:style>
  <w:style w:type="paragraph" w:styleId="TOC8">
    <w:name w:val="toc 8"/>
    <w:basedOn w:val="TOC7"/>
    <w:next w:val="Normal"/>
    <w:semiHidden/>
    <w:rsid w:val="008549CC"/>
    <w:pPr>
      <w:ind w:left="1440"/>
    </w:pPr>
  </w:style>
  <w:style w:type="paragraph" w:styleId="TOC9">
    <w:name w:val="toc 9"/>
    <w:basedOn w:val="TOC8"/>
    <w:next w:val="Normal"/>
    <w:semiHidden/>
    <w:rsid w:val="008549CC"/>
    <w:pPr>
      <w:ind w:left="1680"/>
    </w:pPr>
  </w:style>
  <w:style w:type="paragraph" w:customStyle="1" w:styleId="label-normal">
    <w:name w:val="label-normal"/>
    <w:basedOn w:val="Normal"/>
    <w:rsid w:val="008549CC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8549CC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8549CC"/>
    <w:pPr>
      <w:ind w:left="720" w:hanging="720"/>
    </w:pPr>
  </w:style>
  <w:style w:type="paragraph" w:customStyle="1" w:styleId="Bullet-one">
    <w:name w:val="Bullet-one"/>
    <w:basedOn w:val="Paragraphdouble"/>
    <w:rsid w:val="008549CC"/>
    <w:pPr>
      <w:spacing w:after="120" w:line="360" w:lineRule="auto"/>
      <w:ind w:left="1080" w:hanging="360"/>
    </w:pPr>
  </w:style>
  <w:style w:type="paragraph" w:customStyle="1" w:styleId="DOCKETNO">
    <w:name w:val="DOCKET NO."/>
    <w:rsid w:val="008549CC"/>
    <w:pPr>
      <w:spacing w:after="480" w:line="240" w:lineRule="exact"/>
      <w:jc w:val="center"/>
    </w:pPr>
    <w:rPr>
      <w:rFonts w:ascii="Times New Roman" w:eastAsia="Times New Roman" w:hAnsi="Times New Roman" w:cs="Times New Roman"/>
      <w:b/>
      <w:caps/>
      <w:kern w:val="0"/>
      <w:sz w:val="28"/>
      <w:szCs w:val="20"/>
      <w:lang w:eastAsia="en-US"/>
      <w14:ligatures w14:val="none"/>
    </w:rPr>
  </w:style>
  <w:style w:type="paragraph" w:customStyle="1" w:styleId="DOCKETSTYLE0">
    <w:name w:val="DOCKET STYLE"/>
    <w:rsid w:val="008549CC"/>
    <w:pPr>
      <w:tabs>
        <w:tab w:val="left" w:pos="4608"/>
        <w:tab w:val="left" w:pos="5616"/>
        <w:tab w:val="left" w:pos="6912"/>
      </w:tabs>
      <w:spacing w:after="240" w:line="240" w:lineRule="exact"/>
    </w:pPr>
    <w:rPr>
      <w:rFonts w:ascii="Times New Roman" w:eastAsia="Times New Roman" w:hAnsi="Times New Roman" w:cs="Times New Roman"/>
      <w:b/>
      <w:caps/>
      <w:kern w:val="0"/>
      <w:szCs w:val="20"/>
      <w:lang w:eastAsia="en-US"/>
      <w14:ligatures w14:val="none"/>
    </w:rPr>
  </w:style>
  <w:style w:type="paragraph" w:customStyle="1" w:styleId="PL">
    <w:name w:val="PL"/>
    <w:aliases w:val="BR,MT"/>
    <w:rsid w:val="008549CC"/>
    <w:pPr>
      <w:spacing w:line="480" w:lineRule="exact"/>
      <w:ind w:firstLine="720"/>
      <w:jc w:val="both"/>
    </w:pPr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paragraph" w:customStyle="1" w:styleId="REFERENCELINEMEMO">
    <w:name w:val="REFERENCE LINE MEMO"/>
    <w:rsid w:val="008549CC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eastAsia="Times New Roman" w:hAnsi="emperorPS" w:cs="Times New Roman"/>
      <w:kern w:val="0"/>
      <w:szCs w:val="20"/>
      <w:lang w:eastAsia="en-US"/>
      <w14:ligatures w14:val="none"/>
    </w:rPr>
  </w:style>
  <w:style w:type="paragraph" w:customStyle="1" w:styleId="single">
    <w:name w:val="single"/>
    <w:basedOn w:val="Normal"/>
    <w:rsid w:val="008549CC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8549CC"/>
    <w:pPr>
      <w:ind w:left="1080" w:right="720" w:hanging="360"/>
    </w:pPr>
  </w:style>
  <w:style w:type="table" w:styleId="TableGrid">
    <w:name w:val="Table Grid"/>
    <w:basedOn w:val="TableNormal"/>
    <w:rsid w:val="008549CC"/>
    <w:pPr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8549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9CC"/>
    <w:rPr>
      <w:rFonts w:ascii="Tahoma" w:eastAsia="Times New Roman" w:hAnsi="Tahoma" w:cs="Tahoma"/>
      <w:kern w:val="0"/>
      <w:sz w:val="16"/>
      <w:szCs w:val="16"/>
      <w:lang w:eastAsia="en-US"/>
      <w14:ligatures w14:val="none"/>
    </w:rPr>
  </w:style>
  <w:style w:type="character" w:styleId="Hyperlink">
    <w:name w:val="Hyperlink"/>
    <w:uiPriority w:val="99"/>
    <w:rsid w:val="008549C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549CC"/>
    <w:pPr>
      <w:ind w:left="720"/>
      <w:contextualSpacing/>
    </w:pPr>
  </w:style>
  <w:style w:type="character" w:customStyle="1" w:styleId="NormaldoubleChar">
    <w:name w:val="Normal double Char"/>
    <w:link w:val="Normaldouble"/>
    <w:rsid w:val="008549CC"/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character" w:styleId="CommentReference">
    <w:name w:val="annotation reference"/>
    <w:rsid w:val="008549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49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49CC"/>
    <w:rPr>
      <w:rFonts w:ascii="Times New Roman" w:eastAsia="Times New Roman" w:hAnsi="Times New Roman" w:cs="Times New Roman"/>
      <w:kern w:val="0"/>
      <w:sz w:val="20"/>
      <w:szCs w:val="20"/>
      <w:lang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85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49CC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Revision">
    <w:name w:val="Revision"/>
    <w:hidden/>
    <w:uiPriority w:val="99"/>
    <w:semiHidden/>
    <w:rsid w:val="008549CC"/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character" w:customStyle="1" w:styleId="DocketnumberChar">
    <w:name w:val="Docket number Char"/>
    <w:link w:val="Docketnumber"/>
    <w:locked/>
    <w:rsid w:val="008549CC"/>
    <w:rPr>
      <w:rFonts w:ascii="Times New Roman" w:eastAsia="Times New Roman" w:hAnsi="Times New Roman" w:cs="Times New Roman"/>
      <w:b/>
      <w:caps/>
      <w:kern w:val="0"/>
      <w:sz w:val="28"/>
      <w:szCs w:val="20"/>
      <w:lang w:eastAsia="en-US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8549CC"/>
    <w:pPr>
      <w:keepLines/>
      <w:spacing w:before="240" w:after="0" w:line="259" w:lineRule="auto"/>
      <w:ind w:left="0" w:firstLine="0"/>
      <w:jc w:val="left"/>
      <w:outlineLvl w:val="9"/>
    </w:pPr>
    <w:rPr>
      <w:rFonts w:ascii="Calibri Light" w:hAnsi="Calibri Light"/>
      <w:b w:val="0"/>
      <w:caps w:val="0"/>
      <w:color w:val="2E74B5"/>
      <w:sz w:val="32"/>
      <w:szCs w:val="32"/>
    </w:rPr>
  </w:style>
  <w:style w:type="paragraph" w:customStyle="1" w:styleId="Style1">
    <w:name w:val="Style1"/>
    <w:basedOn w:val="ListParagraph"/>
    <w:link w:val="Style1Char"/>
    <w:qFormat/>
    <w:rsid w:val="008549CC"/>
    <w:pPr>
      <w:keepNext/>
      <w:ind w:left="0"/>
    </w:pPr>
    <w:rPr>
      <w:szCs w:val="24"/>
    </w:rPr>
  </w:style>
  <w:style w:type="paragraph" w:customStyle="1" w:styleId="Style2">
    <w:name w:val="Style2"/>
    <w:basedOn w:val="Heading2"/>
    <w:link w:val="Style2Char"/>
    <w:qFormat/>
    <w:rsid w:val="008549CC"/>
    <w:pPr>
      <w:numPr>
        <w:ilvl w:val="0"/>
      </w:numPr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549CC"/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character" w:customStyle="1" w:styleId="Style1Char">
    <w:name w:val="Style1 Char"/>
    <w:link w:val="Style1"/>
    <w:rsid w:val="008549CC"/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character" w:customStyle="1" w:styleId="Style2Char">
    <w:name w:val="Style2 Char"/>
    <w:link w:val="Style2"/>
    <w:rsid w:val="008549CC"/>
    <w:rPr>
      <w:rFonts w:ascii="Times New Roman" w:eastAsia="Times New Roman" w:hAnsi="Times New Roman" w:cs="Times New Roman"/>
      <w:b/>
      <w:kern w:val="0"/>
      <w:lang w:eastAsia="en-US"/>
      <w14:ligatures w14:val="none"/>
    </w:rPr>
  </w:style>
  <w:style w:type="numbering" w:customStyle="1" w:styleId="Style3">
    <w:name w:val="Style3"/>
    <w:uiPriority w:val="99"/>
    <w:rsid w:val="008549CC"/>
    <w:pPr>
      <w:numPr>
        <w:numId w:val="12"/>
      </w:numPr>
    </w:pPr>
  </w:style>
  <w:style w:type="character" w:styleId="UnresolvedMention">
    <w:name w:val="Unresolved Mention"/>
    <w:uiPriority w:val="99"/>
    <w:semiHidden/>
    <w:unhideWhenUsed/>
    <w:rsid w:val="008549CC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67ADF"/>
    <w:pPr>
      <w:numPr>
        <w:numId w:val="17"/>
      </w:numPr>
    </w:pPr>
  </w:style>
  <w:style w:type="numbering" w:customStyle="1" w:styleId="CurrentList2">
    <w:name w:val="Current List2"/>
    <w:uiPriority w:val="99"/>
    <w:rsid w:val="00A67ADF"/>
    <w:pPr>
      <w:numPr>
        <w:numId w:val="18"/>
      </w:numPr>
    </w:pPr>
  </w:style>
  <w:style w:type="numbering" w:customStyle="1" w:styleId="CurrentList3">
    <w:name w:val="Current List3"/>
    <w:uiPriority w:val="99"/>
    <w:rsid w:val="00A67ADF"/>
    <w:pPr>
      <w:numPr>
        <w:numId w:val="19"/>
      </w:numPr>
    </w:pPr>
  </w:style>
  <w:style w:type="numbering" w:customStyle="1" w:styleId="CurrentList4">
    <w:name w:val="Current List4"/>
    <w:uiPriority w:val="99"/>
    <w:rsid w:val="00A67ADF"/>
    <w:pPr>
      <w:numPr>
        <w:numId w:val="20"/>
      </w:numPr>
    </w:pPr>
  </w:style>
  <w:style w:type="numbering" w:customStyle="1" w:styleId="CurrentList5">
    <w:name w:val="Current List5"/>
    <w:uiPriority w:val="99"/>
    <w:rsid w:val="00A67ADF"/>
    <w:pPr>
      <w:numPr>
        <w:numId w:val="21"/>
      </w:numPr>
    </w:pPr>
  </w:style>
  <w:style w:type="numbering" w:customStyle="1" w:styleId="CurrentList6">
    <w:name w:val="Current List6"/>
    <w:uiPriority w:val="99"/>
    <w:rsid w:val="00A67ADF"/>
    <w:pPr>
      <w:numPr>
        <w:numId w:val="22"/>
      </w:numPr>
    </w:pPr>
  </w:style>
  <w:style w:type="character" w:customStyle="1" w:styleId="ui-provider">
    <w:name w:val="ui-provider"/>
    <w:basedOn w:val="DefaultParagraphFont"/>
    <w:rsid w:val="00A77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20/10/relationships/intelligence" Target="intelligence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3E8342-CA5A-D74F-8370-5878D8CFB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1364</Words>
  <Characters>7777</Characters>
  <Application>Microsoft Office Word</Application>
  <DocSecurity>0</DocSecurity>
  <Lines>64</Lines>
  <Paragraphs>18</Paragraphs>
  <ScaleCrop>false</ScaleCrop>
  <Company/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Merritt Lander</dc:creator>
  <cp:keywords/>
  <dc:description/>
  <cp:lastModifiedBy>Merritt Lander</cp:lastModifiedBy>
  <cp:revision>193</cp:revision>
  <dcterms:created xsi:type="dcterms:W3CDTF">2023-08-09T01:29:00Z</dcterms:created>
  <dcterms:modified xsi:type="dcterms:W3CDTF">2023-08-30T18:46:00Z</dcterms:modified>
</cp:coreProperties>
</file>